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00110" w14:textId="5B44F2A5" w:rsidR="005053F5" w:rsidRDefault="004E0157">
      <w:pPr>
        <w:spacing w:before="74"/>
        <w:ind w:left="4279"/>
        <w:rPr>
          <w:sz w:val="24"/>
        </w:rPr>
      </w:pPr>
      <w:r>
        <w:rPr>
          <w:noProof/>
          <w:color w:val="AAAAAA"/>
          <w:spacing w:val="-16"/>
          <w:w w:val="64"/>
          <w:sz w:val="24"/>
        </w:rPr>
        <w:drawing>
          <wp:anchor distT="0" distB="0" distL="114300" distR="114300" simplePos="0" relativeHeight="487347712" behindDoc="1" locked="0" layoutInCell="1" allowOverlap="1" wp14:anchorId="7F1D8319" wp14:editId="4C89C313">
            <wp:simplePos x="0" y="0"/>
            <wp:positionH relativeFrom="margin">
              <wp:align>center</wp:align>
            </wp:positionH>
            <wp:positionV relativeFrom="paragraph">
              <wp:posOffset>-335035</wp:posOffset>
            </wp:positionV>
            <wp:extent cx="3921370" cy="816952"/>
            <wp:effectExtent l="0" t="0" r="3175" b="2540"/>
            <wp:wrapNone/>
            <wp:docPr id="193029227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9227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1370" cy="816952"/>
                    </a:xfrm>
                    <a:prstGeom prst="rect">
                      <a:avLst/>
                    </a:prstGeom>
                  </pic:spPr>
                </pic:pic>
              </a:graphicData>
            </a:graphic>
            <wp14:sizeRelH relativeFrom="margin">
              <wp14:pctWidth>0</wp14:pctWidth>
            </wp14:sizeRelH>
            <wp14:sizeRelV relativeFrom="margin">
              <wp14:pctHeight>0</wp14:pctHeight>
            </wp14:sizeRelV>
          </wp:anchor>
        </w:drawing>
      </w:r>
      <w:r w:rsidR="006C6DDC">
        <w:rPr>
          <w:color w:val="AAAAAA"/>
          <w:spacing w:val="-16"/>
          <w:w w:val="64"/>
          <w:sz w:val="24"/>
        </w:rPr>
        <w:t>·</w:t>
      </w:r>
    </w:p>
    <w:p w14:paraId="2795959C" w14:textId="77777777" w:rsidR="005053F5" w:rsidRDefault="005053F5">
      <w:pPr>
        <w:pStyle w:val="BodyText"/>
        <w:rPr>
          <w:sz w:val="20"/>
        </w:rPr>
      </w:pPr>
    </w:p>
    <w:p w14:paraId="3099507F" w14:textId="77777777" w:rsidR="005053F5" w:rsidRDefault="005053F5">
      <w:pPr>
        <w:pStyle w:val="BodyText"/>
        <w:spacing w:before="62"/>
        <w:rPr>
          <w:sz w:val="20"/>
        </w:rPr>
      </w:pPr>
    </w:p>
    <w:tbl>
      <w:tblPr>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92"/>
        <w:gridCol w:w="5492"/>
      </w:tblGrid>
      <w:tr w:rsidR="005053F5" w14:paraId="44D14F5A" w14:textId="77777777">
        <w:trPr>
          <w:trHeight w:val="604"/>
        </w:trPr>
        <w:tc>
          <w:tcPr>
            <w:tcW w:w="5492" w:type="dxa"/>
          </w:tcPr>
          <w:p w14:paraId="04B1F547" w14:textId="247A80DF" w:rsidR="005053F5" w:rsidRPr="002431AE" w:rsidRDefault="002431AE">
            <w:pPr>
              <w:pStyle w:val="TableParagraph"/>
              <w:spacing w:before="9"/>
              <w:ind w:left="126"/>
              <w:rPr>
                <w:b/>
                <w:sz w:val="19"/>
                <w:lang w:val="es-MX"/>
              </w:rPr>
            </w:pPr>
            <w:r w:rsidRPr="002431AE">
              <w:rPr>
                <w:b/>
                <w:color w:val="808080"/>
                <w:w w:val="105"/>
                <w:sz w:val="19"/>
                <w:lang w:val="es-MX"/>
              </w:rPr>
              <w:t>DEPARTAMENTO:</w:t>
            </w:r>
            <w:r w:rsidRPr="002431AE">
              <w:rPr>
                <w:b/>
                <w:color w:val="808080"/>
                <w:spacing w:val="3"/>
                <w:w w:val="105"/>
                <w:sz w:val="19"/>
                <w:lang w:val="es-MX"/>
              </w:rPr>
              <w:t xml:space="preserve"> </w:t>
            </w:r>
            <w:r w:rsidRPr="0088650C">
              <w:rPr>
                <w:b/>
                <w:color w:val="808080"/>
                <w:w w:val="105"/>
                <w:sz w:val="19"/>
                <w:lang w:val="es-ES"/>
              </w:rPr>
              <w:t xml:space="preserve">Servicios </w:t>
            </w:r>
            <w:r>
              <w:rPr>
                <w:b/>
                <w:color w:val="808080"/>
                <w:w w:val="105"/>
                <w:sz w:val="19"/>
                <w:lang w:val="es-ES"/>
              </w:rPr>
              <w:t>F</w:t>
            </w:r>
            <w:r w:rsidRPr="0088650C">
              <w:rPr>
                <w:b/>
                <w:color w:val="808080"/>
                <w:w w:val="105"/>
                <w:sz w:val="19"/>
                <w:lang w:val="es-ES"/>
              </w:rPr>
              <w:t xml:space="preserve">inancieros </w:t>
            </w:r>
            <w:r>
              <w:rPr>
                <w:b/>
                <w:color w:val="808080"/>
                <w:w w:val="105"/>
                <w:sz w:val="19"/>
                <w:lang w:val="es-ES"/>
              </w:rPr>
              <w:t>P</w:t>
            </w:r>
            <w:r w:rsidRPr="0088650C">
              <w:rPr>
                <w:b/>
                <w:color w:val="808080"/>
                <w:w w:val="105"/>
                <w:sz w:val="19"/>
                <w:lang w:val="es-ES"/>
              </w:rPr>
              <w:t xml:space="preserve">ara </w:t>
            </w:r>
            <w:r>
              <w:rPr>
                <w:b/>
                <w:color w:val="808080"/>
                <w:w w:val="105"/>
                <w:sz w:val="19"/>
                <w:lang w:val="es-ES"/>
              </w:rPr>
              <w:t>P</w:t>
            </w:r>
            <w:r w:rsidRPr="0088650C">
              <w:rPr>
                <w:b/>
                <w:color w:val="808080"/>
                <w:w w:val="105"/>
                <w:sz w:val="19"/>
                <w:lang w:val="es-ES"/>
              </w:rPr>
              <w:t>acientes</w:t>
            </w:r>
          </w:p>
        </w:tc>
        <w:tc>
          <w:tcPr>
            <w:tcW w:w="5492" w:type="dxa"/>
          </w:tcPr>
          <w:p w14:paraId="3A1B4FCD" w14:textId="7E43C97D" w:rsidR="005053F5" w:rsidRDefault="002431AE">
            <w:pPr>
              <w:pStyle w:val="TableParagraph"/>
              <w:spacing w:before="16"/>
              <w:ind w:left="114"/>
              <w:rPr>
                <w:b/>
                <w:sz w:val="19"/>
              </w:rPr>
            </w:pPr>
            <w:r>
              <w:rPr>
                <w:b/>
                <w:color w:val="808080"/>
                <w:w w:val="105"/>
                <w:sz w:val="19"/>
              </w:rPr>
              <w:t>CATEGORÍA:</w:t>
            </w:r>
            <w:r>
              <w:rPr>
                <w:b/>
                <w:color w:val="808080"/>
                <w:spacing w:val="1"/>
                <w:w w:val="105"/>
                <w:sz w:val="19"/>
              </w:rPr>
              <w:t xml:space="preserve"> </w:t>
            </w:r>
            <w:proofErr w:type="spellStart"/>
            <w:r>
              <w:rPr>
                <w:b/>
                <w:color w:val="808080"/>
                <w:spacing w:val="-2"/>
                <w:w w:val="105"/>
                <w:sz w:val="19"/>
              </w:rPr>
              <w:t>Políticas</w:t>
            </w:r>
            <w:proofErr w:type="spellEnd"/>
          </w:p>
        </w:tc>
      </w:tr>
      <w:tr w:rsidR="005053F5" w:rsidRPr="002431AE" w14:paraId="5DDB7609" w14:textId="77777777">
        <w:trPr>
          <w:trHeight w:val="604"/>
        </w:trPr>
        <w:tc>
          <w:tcPr>
            <w:tcW w:w="10984" w:type="dxa"/>
            <w:gridSpan w:val="2"/>
          </w:tcPr>
          <w:p w14:paraId="2CDE0E68" w14:textId="15E17A59" w:rsidR="005053F5" w:rsidRPr="002431AE" w:rsidRDefault="002431AE">
            <w:pPr>
              <w:pStyle w:val="TableParagraph"/>
              <w:spacing w:before="9"/>
              <w:ind w:left="119"/>
              <w:rPr>
                <w:b/>
                <w:sz w:val="19"/>
                <w:lang w:val="es-MX"/>
              </w:rPr>
            </w:pPr>
            <w:r w:rsidRPr="002431AE">
              <w:rPr>
                <w:b/>
                <w:color w:val="808080"/>
                <w:w w:val="105"/>
                <w:sz w:val="19"/>
                <w:lang w:val="es-MX"/>
              </w:rPr>
              <w:t>SUJETO:</w:t>
            </w:r>
            <w:r w:rsidRPr="002431AE">
              <w:rPr>
                <w:b/>
                <w:color w:val="808080"/>
                <w:spacing w:val="74"/>
                <w:w w:val="150"/>
                <w:sz w:val="19"/>
                <w:lang w:val="es-MX"/>
              </w:rPr>
              <w:t xml:space="preserve"> </w:t>
            </w:r>
            <w:r w:rsidRPr="0088650C">
              <w:rPr>
                <w:b/>
                <w:color w:val="808080"/>
                <w:w w:val="105"/>
                <w:sz w:val="19"/>
                <w:lang w:val="es-ES"/>
              </w:rPr>
              <w:t>Programa de ayuda financiera/descuento benéfico o atención caritativa parcial</w:t>
            </w:r>
          </w:p>
        </w:tc>
      </w:tr>
    </w:tbl>
    <w:p w14:paraId="474C1155" w14:textId="223EDBD7" w:rsidR="005053F5" w:rsidRPr="002431AE" w:rsidRDefault="006C6DDC">
      <w:pPr>
        <w:pStyle w:val="Heading1"/>
        <w:spacing w:before="5"/>
        <w:rPr>
          <w:lang w:val="es-MX"/>
        </w:rPr>
      </w:pPr>
      <w:r w:rsidRPr="002431AE">
        <w:rPr>
          <w:color w:val="808080"/>
          <w:spacing w:val="-2"/>
          <w:lang w:val="es-MX"/>
        </w:rPr>
        <w:t>PROGRAM</w:t>
      </w:r>
      <w:r w:rsidR="002431AE" w:rsidRPr="002431AE">
        <w:rPr>
          <w:color w:val="808080"/>
          <w:spacing w:val="-2"/>
          <w:lang w:val="es-MX"/>
        </w:rPr>
        <w:t>A</w:t>
      </w:r>
      <w:r w:rsidRPr="002431AE">
        <w:rPr>
          <w:color w:val="808080"/>
          <w:spacing w:val="-2"/>
          <w:lang w:val="es-MX"/>
        </w:rPr>
        <w:t>:</w:t>
      </w:r>
    </w:p>
    <w:p w14:paraId="4C41D075" w14:textId="77777777" w:rsidR="005053F5" w:rsidRPr="002431AE" w:rsidRDefault="005053F5">
      <w:pPr>
        <w:pStyle w:val="BodyText"/>
        <w:spacing w:before="27"/>
        <w:rPr>
          <w:b/>
          <w:lang w:val="es-MX"/>
        </w:rPr>
      </w:pPr>
    </w:p>
    <w:p w14:paraId="13E6E589" w14:textId="67E0A9D1" w:rsidR="005053F5" w:rsidRPr="002431AE" w:rsidRDefault="002431AE">
      <w:pPr>
        <w:pStyle w:val="BodyText"/>
        <w:spacing w:line="249" w:lineRule="auto"/>
        <w:ind w:left="114" w:right="447" w:firstLine="4"/>
        <w:rPr>
          <w:lang w:val="es-MX"/>
        </w:rPr>
      </w:pPr>
      <w:r w:rsidRPr="0088650C">
        <w:rPr>
          <w:color w:val="808080"/>
          <w:w w:val="105"/>
          <w:lang w:val="es-ES"/>
        </w:rPr>
        <w:t xml:space="preserve">Catalina Island </w:t>
      </w:r>
      <w:proofErr w:type="spellStart"/>
      <w:r w:rsidRPr="0088650C">
        <w:rPr>
          <w:color w:val="808080"/>
          <w:w w:val="105"/>
          <w:lang w:val="es-ES"/>
        </w:rPr>
        <w:t>Health</w:t>
      </w:r>
      <w:proofErr w:type="spellEnd"/>
      <w:r w:rsidRPr="0088650C">
        <w:rPr>
          <w:color w:val="808080"/>
          <w:w w:val="105"/>
          <w:lang w:val="es-ES"/>
        </w:rPr>
        <w:t xml:space="preserve"> (CIH) se esfuerza por brindar servicios de calidad en un entorno solidario y marcar una diferencia positiva y mensurable en la salud de las personas a las que atendemos. Ayudar a satisfacer las necesidades de las personas de bajos ingresos sin seguro es un elemento esencial de nuestro compromiso con la comunidad</w:t>
      </w:r>
      <w:r w:rsidR="006C6DDC" w:rsidRPr="002431AE">
        <w:rPr>
          <w:color w:val="808080"/>
          <w:w w:val="105"/>
          <w:lang w:val="es-MX"/>
        </w:rPr>
        <w:t>.</w:t>
      </w:r>
    </w:p>
    <w:p w14:paraId="1C0061C2" w14:textId="77777777" w:rsidR="005053F5" w:rsidRPr="002431AE" w:rsidRDefault="005053F5">
      <w:pPr>
        <w:pStyle w:val="BodyText"/>
        <w:spacing w:before="14"/>
        <w:rPr>
          <w:lang w:val="es-MX"/>
        </w:rPr>
      </w:pPr>
    </w:p>
    <w:p w14:paraId="55B310AA" w14:textId="7B24696E" w:rsidR="005053F5" w:rsidRPr="002431AE" w:rsidRDefault="002431AE">
      <w:pPr>
        <w:pStyle w:val="BodyText"/>
        <w:spacing w:line="249" w:lineRule="auto"/>
        <w:ind w:left="121" w:right="447" w:hanging="13"/>
        <w:rPr>
          <w:lang w:val="es-MX"/>
        </w:rPr>
      </w:pPr>
      <w:r w:rsidRPr="0088650C">
        <w:rPr>
          <w:color w:val="808080"/>
          <w:w w:val="105"/>
          <w:lang w:val="es-ES"/>
        </w:rPr>
        <w:t>Este programa proporciona los medios para que CIH demuestre su compromiso de lograr su misión y valores.</w:t>
      </w:r>
    </w:p>
    <w:p w14:paraId="519324A5" w14:textId="77777777" w:rsidR="005053F5" w:rsidRPr="002431AE" w:rsidRDefault="005053F5">
      <w:pPr>
        <w:pStyle w:val="BodyText"/>
        <w:spacing w:before="22"/>
        <w:rPr>
          <w:lang w:val="es-MX"/>
        </w:rPr>
      </w:pPr>
    </w:p>
    <w:p w14:paraId="14F1B472" w14:textId="45B538B6" w:rsidR="005053F5" w:rsidRPr="002431AE" w:rsidRDefault="002431AE">
      <w:pPr>
        <w:pStyle w:val="BodyText"/>
        <w:spacing w:line="249" w:lineRule="auto"/>
        <w:ind w:left="121" w:right="447" w:hanging="2"/>
        <w:rPr>
          <w:lang w:val="es-MX"/>
        </w:rPr>
      </w:pPr>
      <w:r w:rsidRPr="0088650C">
        <w:rPr>
          <w:color w:val="808080"/>
          <w:w w:val="105"/>
          <w:lang w:val="es-ES"/>
        </w:rPr>
        <w:t>CIH ofrece atención caritativa (atención gratuita) y/o pago con descuento (atención caritativa parcial) dependiendo de la prueba de recursos como se describe en este programa.</w:t>
      </w:r>
    </w:p>
    <w:p w14:paraId="17A43F7A" w14:textId="77777777" w:rsidR="005053F5" w:rsidRPr="002431AE" w:rsidRDefault="005053F5">
      <w:pPr>
        <w:pStyle w:val="BodyText"/>
        <w:spacing w:before="15"/>
        <w:rPr>
          <w:lang w:val="es-MX"/>
        </w:rPr>
      </w:pPr>
    </w:p>
    <w:p w14:paraId="1323D86E" w14:textId="06981473" w:rsidR="005053F5" w:rsidRPr="002431AE" w:rsidRDefault="002431AE" w:rsidP="002431AE">
      <w:pPr>
        <w:pStyle w:val="BodyText"/>
        <w:spacing w:before="21"/>
        <w:rPr>
          <w:color w:val="808080"/>
          <w:w w:val="105"/>
          <w:lang w:val="es-MX"/>
        </w:rPr>
      </w:pPr>
      <w:r w:rsidRPr="0088650C">
        <w:rPr>
          <w:color w:val="808080"/>
          <w:w w:val="105"/>
          <w:lang w:val="es-ES"/>
        </w:rPr>
        <w:t>El propósito del Programa de Ayuda Financiera/Descuento Caritativo o de Atención Caritativa Parcial para pacientes es definir los criterios de elegibilidad para asistencia financiera y proporcionar pautas administrativas para la comunicación e implementación de este programa de pago de caridad/descuento.</w:t>
      </w:r>
    </w:p>
    <w:p w14:paraId="6132B4C6" w14:textId="77777777" w:rsidR="005053F5" w:rsidRPr="002431AE" w:rsidRDefault="005053F5">
      <w:pPr>
        <w:pStyle w:val="BodyText"/>
        <w:spacing w:before="21"/>
        <w:rPr>
          <w:lang w:val="es-MX"/>
        </w:rPr>
      </w:pPr>
    </w:p>
    <w:p w14:paraId="714DEE56" w14:textId="009124FB" w:rsidR="005053F5" w:rsidRPr="002431AE" w:rsidRDefault="002431AE">
      <w:pPr>
        <w:pStyle w:val="Heading1"/>
        <w:rPr>
          <w:lang w:val="es-MX"/>
        </w:rPr>
      </w:pPr>
      <w:r w:rsidRPr="0088650C">
        <w:rPr>
          <w:color w:val="808080"/>
          <w:w w:val="105"/>
          <w:lang w:val="es-ES"/>
        </w:rPr>
        <w:t>Notificación al paciente sobre ayuda financiera/descuento caritativo o programa de atención caritativa parcial</w:t>
      </w:r>
    </w:p>
    <w:p w14:paraId="55BD5459" w14:textId="5415230D" w:rsidR="005053F5" w:rsidRPr="00131838" w:rsidRDefault="00131838">
      <w:pPr>
        <w:pStyle w:val="BodyText"/>
        <w:spacing w:before="2"/>
        <w:ind w:left="124"/>
        <w:rPr>
          <w:lang w:val="es-MX"/>
        </w:rPr>
      </w:pPr>
      <w:r w:rsidRPr="0088650C">
        <w:rPr>
          <w:color w:val="909090"/>
          <w:w w:val="105"/>
          <w:lang w:val="es-ES"/>
        </w:rPr>
        <w:t>La información sobre la asistencia financiera disponible de CIH se distribuirá de la siguiente manera:</w:t>
      </w:r>
    </w:p>
    <w:p w14:paraId="5B59C4F4" w14:textId="334B93E2" w:rsidR="005053F5" w:rsidRPr="00131838" w:rsidRDefault="00131838">
      <w:pPr>
        <w:pStyle w:val="ListParagraph"/>
        <w:numPr>
          <w:ilvl w:val="0"/>
          <w:numId w:val="10"/>
        </w:numPr>
        <w:tabs>
          <w:tab w:val="left" w:pos="472"/>
          <w:tab w:val="left" w:pos="474"/>
        </w:tabs>
        <w:spacing w:before="39" w:line="249" w:lineRule="auto"/>
        <w:ind w:right="639" w:hanging="357"/>
        <w:rPr>
          <w:color w:val="808080"/>
          <w:sz w:val="23"/>
          <w:lang w:val="es-MX"/>
        </w:rPr>
      </w:pPr>
      <w:r w:rsidRPr="00131838">
        <w:rPr>
          <w:color w:val="808080"/>
          <w:w w:val="105"/>
          <w:sz w:val="23"/>
          <w:lang w:val="es-MX"/>
        </w:rPr>
        <w:t>Avisos en declaraciones de pacientes y otra distribución de correspondencia de notificación al paciente en el momento de la inscripción para una estadía como paciente hospitalizado, visitas ambulatorias, visitas al Departamento de Emergencias (ED), ciertas visitas a la Clínica de Salud Rural (RHC) o a la Clínica de Salud Familiar (FHC).</w:t>
      </w:r>
    </w:p>
    <w:p w14:paraId="1DE5B0B1" w14:textId="282A4615" w:rsidR="005053F5" w:rsidRPr="00131838" w:rsidRDefault="00131838">
      <w:pPr>
        <w:pStyle w:val="ListParagraph"/>
        <w:numPr>
          <w:ilvl w:val="0"/>
          <w:numId w:val="10"/>
        </w:numPr>
        <w:tabs>
          <w:tab w:val="left" w:pos="480"/>
        </w:tabs>
        <w:spacing w:before="19"/>
        <w:ind w:left="480" w:hanging="363"/>
        <w:rPr>
          <w:color w:val="808080"/>
          <w:sz w:val="23"/>
          <w:lang w:val="es-MX"/>
        </w:rPr>
      </w:pPr>
      <w:r w:rsidRPr="00131838">
        <w:rPr>
          <w:color w:val="808080"/>
          <w:w w:val="105"/>
          <w:sz w:val="23"/>
          <w:lang w:val="es-MX"/>
        </w:rPr>
        <w:t>Publicar avisos en áreas de alto volumen como:</w:t>
      </w:r>
    </w:p>
    <w:p w14:paraId="71DE6477" w14:textId="77777777" w:rsidR="00131838" w:rsidRPr="00131838" w:rsidRDefault="00131838" w:rsidP="00131838">
      <w:pPr>
        <w:pStyle w:val="ListParagraph"/>
        <w:numPr>
          <w:ilvl w:val="1"/>
          <w:numId w:val="10"/>
        </w:numPr>
        <w:tabs>
          <w:tab w:val="left" w:pos="480"/>
        </w:tabs>
        <w:spacing w:before="19"/>
        <w:rPr>
          <w:color w:val="808080"/>
          <w:sz w:val="23"/>
          <w:lang w:val="es-MX"/>
        </w:rPr>
      </w:pPr>
      <w:r w:rsidRPr="00131838">
        <w:rPr>
          <w:color w:val="808080"/>
          <w:w w:val="105"/>
          <w:sz w:val="23"/>
          <w:lang w:val="es-MX"/>
        </w:rPr>
        <w:t>Acceso del Paciente para servicios hospitalarios o ambulatorios.</w:t>
      </w:r>
    </w:p>
    <w:p w14:paraId="7BC12CE0" w14:textId="77777777" w:rsidR="00131838" w:rsidRPr="0088650C" w:rsidRDefault="00131838" w:rsidP="00131838">
      <w:pPr>
        <w:pStyle w:val="ListParagraph"/>
        <w:numPr>
          <w:ilvl w:val="0"/>
          <w:numId w:val="9"/>
        </w:numPr>
        <w:tabs>
          <w:tab w:val="left" w:pos="832"/>
        </w:tabs>
        <w:spacing w:before="10"/>
        <w:rPr>
          <w:color w:val="808080"/>
          <w:w w:val="105"/>
          <w:sz w:val="23"/>
        </w:rPr>
      </w:pPr>
      <w:proofErr w:type="spellStart"/>
      <w:r w:rsidRPr="0088650C">
        <w:rPr>
          <w:color w:val="808080"/>
          <w:w w:val="105"/>
          <w:sz w:val="23"/>
        </w:rPr>
        <w:t>Servicio</w:t>
      </w:r>
      <w:proofErr w:type="spellEnd"/>
      <w:r w:rsidRPr="0088650C">
        <w:rPr>
          <w:color w:val="808080"/>
          <w:w w:val="105"/>
          <w:sz w:val="23"/>
        </w:rPr>
        <w:t xml:space="preserve"> de </w:t>
      </w:r>
      <w:proofErr w:type="spellStart"/>
      <w:r w:rsidRPr="0088650C">
        <w:rPr>
          <w:color w:val="808080"/>
          <w:w w:val="105"/>
          <w:sz w:val="23"/>
        </w:rPr>
        <w:t>Urgencias</w:t>
      </w:r>
      <w:proofErr w:type="spellEnd"/>
      <w:r w:rsidRPr="0088650C">
        <w:rPr>
          <w:color w:val="808080"/>
          <w:w w:val="105"/>
          <w:sz w:val="23"/>
        </w:rPr>
        <w:t>.</w:t>
      </w:r>
    </w:p>
    <w:p w14:paraId="3CE3931F" w14:textId="77777777" w:rsidR="00131838" w:rsidRPr="00131838" w:rsidRDefault="00131838" w:rsidP="00131838">
      <w:pPr>
        <w:pStyle w:val="ListParagraph"/>
        <w:numPr>
          <w:ilvl w:val="0"/>
          <w:numId w:val="9"/>
        </w:numPr>
        <w:tabs>
          <w:tab w:val="left" w:pos="832"/>
        </w:tabs>
        <w:spacing w:before="10"/>
        <w:rPr>
          <w:color w:val="808080"/>
          <w:w w:val="105"/>
          <w:sz w:val="23"/>
          <w:lang w:val="es-MX"/>
        </w:rPr>
      </w:pPr>
      <w:r w:rsidRPr="00131838">
        <w:rPr>
          <w:color w:val="808080"/>
          <w:w w:val="105"/>
          <w:sz w:val="23"/>
          <w:lang w:val="es-MX"/>
        </w:rPr>
        <w:t>Servicios de Terapia Física y Ocupacional.</w:t>
      </w:r>
    </w:p>
    <w:p w14:paraId="018FEEF2" w14:textId="77777777" w:rsidR="00131838" w:rsidRPr="00131838" w:rsidRDefault="00131838" w:rsidP="00131838">
      <w:pPr>
        <w:pStyle w:val="ListParagraph"/>
        <w:numPr>
          <w:ilvl w:val="0"/>
          <w:numId w:val="9"/>
        </w:numPr>
        <w:tabs>
          <w:tab w:val="left" w:pos="832"/>
        </w:tabs>
        <w:spacing w:before="10"/>
        <w:rPr>
          <w:color w:val="808080"/>
          <w:w w:val="105"/>
          <w:sz w:val="23"/>
          <w:lang w:val="es-MX"/>
        </w:rPr>
      </w:pPr>
      <w:r w:rsidRPr="00131838">
        <w:rPr>
          <w:color w:val="808080"/>
          <w:w w:val="105"/>
          <w:sz w:val="23"/>
          <w:lang w:val="es-MX"/>
        </w:rPr>
        <w:t>Oficina de Servicios Financieros para Pacientes.</w:t>
      </w:r>
    </w:p>
    <w:p w14:paraId="09CE75DC" w14:textId="77777777" w:rsidR="00131838" w:rsidRPr="001512FC" w:rsidRDefault="00131838" w:rsidP="00131838">
      <w:pPr>
        <w:pStyle w:val="ListParagraph"/>
        <w:numPr>
          <w:ilvl w:val="0"/>
          <w:numId w:val="9"/>
        </w:numPr>
        <w:tabs>
          <w:tab w:val="left" w:pos="832"/>
        </w:tabs>
        <w:spacing w:before="10"/>
        <w:rPr>
          <w:color w:val="808080"/>
          <w:w w:val="105"/>
          <w:sz w:val="23"/>
        </w:rPr>
      </w:pPr>
      <w:r w:rsidRPr="00131838">
        <w:rPr>
          <w:color w:val="808080"/>
          <w:w w:val="105"/>
          <w:sz w:val="23"/>
          <w:lang w:val="es-MX"/>
        </w:rPr>
        <w:t xml:space="preserve"> </w:t>
      </w:r>
      <w:proofErr w:type="spellStart"/>
      <w:r w:rsidRPr="001512FC">
        <w:rPr>
          <w:color w:val="808080"/>
          <w:w w:val="105"/>
          <w:sz w:val="23"/>
        </w:rPr>
        <w:t>Clínica</w:t>
      </w:r>
      <w:proofErr w:type="spellEnd"/>
      <w:r w:rsidRPr="001512FC">
        <w:rPr>
          <w:color w:val="808080"/>
          <w:w w:val="105"/>
          <w:sz w:val="23"/>
        </w:rPr>
        <w:t xml:space="preserve"> de </w:t>
      </w:r>
      <w:proofErr w:type="spellStart"/>
      <w:r w:rsidRPr="001512FC">
        <w:rPr>
          <w:color w:val="808080"/>
          <w:w w:val="105"/>
          <w:sz w:val="23"/>
        </w:rPr>
        <w:t>salud</w:t>
      </w:r>
      <w:proofErr w:type="spellEnd"/>
      <w:r w:rsidRPr="001512FC">
        <w:rPr>
          <w:color w:val="808080"/>
          <w:w w:val="105"/>
          <w:sz w:val="23"/>
        </w:rPr>
        <w:t xml:space="preserve"> rural</w:t>
      </w:r>
    </w:p>
    <w:p w14:paraId="4B1A9CC8" w14:textId="508C3863" w:rsidR="005053F5" w:rsidRPr="00131838" w:rsidRDefault="00131838" w:rsidP="00131838">
      <w:pPr>
        <w:pStyle w:val="ListParagraph"/>
        <w:numPr>
          <w:ilvl w:val="0"/>
          <w:numId w:val="9"/>
        </w:numPr>
        <w:tabs>
          <w:tab w:val="left" w:pos="835"/>
        </w:tabs>
        <w:spacing w:before="16"/>
        <w:ind w:left="835" w:hanging="355"/>
        <w:rPr>
          <w:sz w:val="23"/>
          <w:lang w:val="es-MX"/>
        </w:rPr>
      </w:pPr>
      <w:r w:rsidRPr="00131838">
        <w:rPr>
          <w:color w:val="808080"/>
          <w:w w:val="105"/>
          <w:sz w:val="23"/>
          <w:lang w:val="es-MX"/>
        </w:rPr>
        <w:t>Otros lugares que CIH pueda elegir.</w:t>
      </w:r>
    </w:p>
    <w:p w14:paraId="56FD8324" w14:textId="3905AC62" w:rsidR="005053F5" w:rsidRPr="00131838" w:rsidRDefault="00131838">
      <w:pPr>
        <w:pStyle w:val="ListParagraph"/>
        <w:numPr>
          <w:ilvl w:val="1"/>
          <w:numId w:val="9"/>
        </w:numPr>
        <w:tabs>
          <w:tab w:val="left" w:pos="1197"/>
          <w:tab w:val="left" w:pos="1206"/>
        </w:tabs>
        <w:spacing w:line="249" w:lineRule="auto"/>
        <w:ind w:right="1846" w:hanging="363"/>
        <w:rPr>
          <w:sz w:val="23"/>
          <w:lang w:val="es-MX"/>
        </w:rPr>
      </w:pPr>
      <w:r w:rsidRPr="00131838">
        <w:rPr>
          <w:color w:val="707070"/>
          <w:w w:val="105"/>
          <w:sz w:val="23"/>
          <w:lang w:val="es-MX"/>
        </w:rPr>
        <w:t>Dicha información se proporcionará en inglés y podrá traducirse a pedido de los pacientes/garantes que hablen otros idiomas</w:t>
      </w:r>
      <w:r w:rsidR="006C6DDC" w:rsidRPr="00131838">
        <w:rPr>
          <w:color w:val="707070"/>
          <w:w w:val="105"/>
          <w:sz w:val="23"/>
          <w:lang w:val="es-MX"/>
        </w:rPr>
        <w:t>.</w:t>
      </w:r>
    </w:p>
    <w:p w14:paraId="569CD7CA" w14:textId="6A4EE8BB" w:rsidR="005053F5" w:rsidRPr="00131838" w:rsidRDefault="00131838">
      <w:pPr>
        <w:pStyle w:val="ListParagraph"/>
        <w:numPr>
          <w:ilvl w:val="0"/>
          <w:numId w:val="9"/>
        </w:numPr>
        <w:tabs>
          <w:tab w:val="left" w:pos="840"/>
          <w:tab w:val="left" w:pos="844"/>
        </w:tabs>
        <w:spacing w:before="6" w:line="249" w:lineRule="auto"/>
        <w:ind w:left="844" w:right="444" w:hanging="357"/>
        <w:rPr>
          <w:sz w:val="23"/>
          <w:lang w:val="es-MX"/>
        </w:rPr>
      </w:pPr>
      <w:r w:rsidRPr="00131838">
        <w:rPr>
          <w:color w:val="808080"/>
          <w:w w:val="105"/>
          <w:sz w:val="23"/>
          <w:lang w:val="es-MX"/>
        </w:rPr>
        <w:t>Se notificará a los pacientes que ingresan a través del servicio de urgencias que este programa está disponible para ellos para ayudarlos también con la factura del proveedor del servicio de urgencias al momento del alta y mediante publicación en el servicio de urgencias</w:t>
      </w:r>
      <w:r w:rsidR="006C6DDC" w:rsidRPr="00131838">
        <w:rPr>
          <w:color w:val="808080"/>
          <w:w w:val="105"/>
          <w:sz w:val="23"/>
          <w:lang w:val="es-MX"/>
        </w:rPr>
        <w:t>.</w:t>
      </w:r>
    </w:p>
    <w:p w14:paraId="5A0F46CF" w14:textId="11FD633E" w:rsidR="005053F5" w:rsidRPr="00131838" w:rsidRDefault="00131838">
      <w:pPr>
        <w:pStyle w:val="ListParagraph"/>
        <w:numPr>
          <w:ilvl w:val="0"/>
          <w:numId w:val="10"/>
        </w:numPr>
        <w:tabs>
          <w:tab w:val="left" w:pos="483"/>
          <w:tab w:val="left" w:pos="486"/>
        </w:tabs>
        <w:spacing w:before="19" w:line="254" w:lineRule="auto"/>
        <w:ind w:left="483" w:right="1048" w:hanging="366"/>
        <w:rPr>
          <w:color w:val="808080"/>
          <w:sz w:val="23"/>
          <w:lang w:val="es-MX"/>
        </w:rPr>
      </w:pPr>
      <w:r w:rsidRPr="00131838">
        <w:rPr>
          <w:color w:val="808080"/>
          <w:sz w:val="23"/>
          <w:lang w:val="es-MX"/>
        </w:rPr>
        <w:t xml:space="preserve">La elegibilidad para recibir atención caritativa, total o </w:t>
      </w:r>
      <w:proofErr w:type="gramStart"/>
      <w:r w:rsidRPr="00131838">
        <w:rPr>
          <w:color w:val="808080"/>
          <w:sz w:val="23"/>
          <w:lang w:val="es-MX"/>
        </w:rPr>
        <w:t>parcial,</w:t>
      </w:r>
      <w:proofErr w:type="gramEnd"/>
      <w:r w:rsidRPr="00131838">
        <w:rPr>
          <w:color w:val="808080"/>
          <w:sz w:val="23"/>
          <w:lang w:val="es-MX"/>
        </w:rPr>
        <w:t xml:space="preserve"> se realizará en función de los ingresos familiares o de circunstancias especiales. Para propósitos del programa de asistencia financiera, la unidad familiar de un paciente incluirá</w:t>
      </w:r>
      <w:r w:rsidR="006C6DDC" w:rsidRPr="00131838">
        <w:rPr>
          <w:color w:val="707070"/>
          <w:w w:val="105"/>
          <w:sz w:val="23"/>
          <w:lang w:val="es-MX"/>
        </w:rPr>
        <w:t>:</w:t>
      </w:r>
    </w:p>
    <w:p w14:paraId="63A912FF" w14:textId="77777777" w:rsidR="00131838" w:rsidRPr="00131838" w:rsidRDefault="00131838" w:rsidP="00131838">
      <w:pPr>
        <w:pStyle w:val="ListParagraph"/>
        <w:numPr>
          <w:ilvl w:val="0"/>
          <w:numId w:val="8"/>
        </w:numPr>
        <w:tabs>
          <w:tab w:val="left" w:pos="829"/>
        </w:tabs>
        <w:spacing w:before="0" w:line="259" w:lineRule="exact"/>
        <w:ind w:left="829" w:hanging="343"/>
        <w:rPr>
          <w:color w:val="707070"/>
          <w:sz w:val="23"/>
          <w:lang w:val="es-MX"/>
        </w:rPr>
      </w:pPr>
      <w:r w:rsidRPr="00131838">
        <w:rPr>
          <w:color w:val="808080"/>
          <w:w w:val="105"/>
          <w:sz w:val="23"/>
          <w:lang w:val="es-MX"/>
        </w:rPr>
        <w:t>El cónyuge legal del paciente.</w:t>
      </w:r>
    </w:p>
    <w:p w14:paraId="684AB2AD" w14:textId="77777777" w:rsidR="00131838" w:rsidRPr="00131838" w:rsidRDefault="00131838" w:rsidP="00131838">
      <w:pPr>
        <w:pStyle w:val="ListParagraph"/>
        <w:numPr>
          <w:ilvl w:val="0"/>
          <w:numId w:val="8"/>
        </w:numPr>
        <w:tabs>
          <w:tab w:val="left" w:pos="837"/>
        </w:tabs>
        <w:spacing w:before="10"/>
        <w:ind w:left="837" w:hanging="351"/>
        <w:rPr>
          <w:color w:val="909090"/>
          <w:sz w:val="23"/>
          <w:lang w:val="es-MX"/>
        </w:rPr>
      </w:pPr>
      <w:r w:rsidRPr="00131838">
        <w:rPr>
          <w:color w:val="808080"/>
          <w:w w:val="105"/>
          <w:sz w:val="23"/>
          <w:lang w:val="es-MX"/>
        </w:rPr>
        <w:t>La pareja de hecho registrada del paciente.</w:t>
      </w:r>
    </w:p>
    <w:p w14:paraId="14B58239" w14:textId="77777777" w:rsidR="00131838" w:rsidRPr="00131838" w:rsidRDefault="00131838" w:rsidP="00131838">
      <w:pPr>
        <w:pStyle w:val="ListParagraph"/>
        <w:numPr>
          <w:ilvl w:val="0"/>
          <w:numId w:val="8"/>
        </w:numPr>
        <w:tabs>
          <w:tab w:val="left" w:pos="846"/>
        </w:tabs>
        <w:ind w:left="846" w:hanging="357"/>
        <w:rPr>
          <w:color w:val="909090"/>
          <w:sz w:val="23"/>
          <w:lang w:val="es-MX"/>
        </w:rPr>
      </w:pPr>
      <w:r w:rsidRPr="00131838">
        <w:rPr>
          <w:color w:val="808080"/>
          <w:w w:val="105"/>
          <w:sz w:val="23"/>
          <w:lang w:val="es-MX"/>
        </w:rPr>
        <w:t>Cada padre tiene la custodia legal del paciente.</w:t>
      </w:r>
    </w:p>
    <w:p w14:paraId="5C5D1C39" w14:textId="1251835A" w:rsidR="005053F5" w:rsidRPr="00131838" w:rsidRDefault="00131838" w:rsidP="00131838">
      <w:pPr>
        <w:pStyle w:val="ListParagraph"/>
        <w:numPr>
          <w:ilvl w:val="0"/>
          <w:numId w:val="8"/>
        </w:numPr>
        <w:tabs>
          <w:tab w:val="left" w:pos="837"/>
        </w:tabs>
        <w:spacing w:before="9"/>
        <w:ind w:left="837" w:hanging="357"/>
        <w:rPr>
          <w:color w:val="808080"/>
          <w:sz w:val="23"/>
          <w:lang w:val="es-MX"/>
        </w:rPr>
      </w:pPr>
      <w:r w:rsidRPr="00131838">
        <w:rPr>
          <w:color w:val="808080"/>
          <w:w w:val="105"/>
          <w:sz w:val="23"/>
          <w:lang w:val="es-MX"/>
        </w:rPr>
        <w:t>El tutor legal del paciente</w:t>
      </w:r>
      <w:r w:rsidR="006C6DDC" w:rsidRPr="00131838">
        <w:rPr>
          <w:color w:val="808080"/>
          <w:spacing w:val="-2"/>
          <w:w w:val="105"/>
          <w:sz w:val="23"/>
          <w:lang w:val="es-MX"/>
        </w:rPr>
        <w:t>.</w:t>
      </w:r>
    </w:p>
    <w:p w14:paraId="7B10A00E" w14:textId="6497E837" w:rsidR="00131838" w:rsidRDefault="00131838">
      <w:pPr>
        <w:rPr>
          <w:sz w:val="23"/>
          <w:szCs w:val="23"/>
          <w:lang w:val="es-MX"/>
        </w:rPr>
      </w:pPr>
      <w:r>
        <w:rPr>
          <w:lang w:val="es-MX"/>
        </w:rPr>
        <w:br w:type="page"/>
      </w:r>
    </w:p>
    <w:p w14:paraId="32B480CA" w14:textId="4E3C70A5" w:rsidR="005053F5" w:rsidRDefault="00131838">
      <w:pPr>
        <w:pStyle w:val="BodyText"/>
        <w:spacing w:before="34"/>
        <w:rPr>
          <w:lang w:val="es-MX"/>
        </w:rPr>
      </w:pPr>
      <w:r>
        <w:rPr>
          <w:noProof/>
          <w:color w:val="AAAAAA"/>
          <w:spacing w:val="-16"/>
          <w:w w:val="64"/>
          <w:sz w:val="24"/>
        </w:rPr>
        <w:lastRenderedPageBreak/>
        <w:drawing>
          <wp:anchor distT="0" distB="0" distL="114300" distR="114300" simplePos="0" relativeHeight="487349760" behindDoc="1" locked="0" layoutInCell="1" allowOverlap="1" wp14:anchorId="4310D73D" wp14:editId="1D747427">
            <wp:simplePos x="0" y="0"/>
            <wp:positionH relativeFrom="margin">
              <wp:posOffset>1606550</wp:posOffset>
            </wp:positionH>
            <wp:positionV relativeFrom="paragraph">
              <wp:posOffset>-412336</wp:posOffset>
            </wp:positionV>
            <wp:extent cx="3921125" cy="816610"/>
            <wp:effectExtent l="0" t="0" r="3175" b="2540"/>
            <wp:wrapNone/>
            <wp:docPr id="7308401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9227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1125" cy="816610"/>
                    </a:xfrm>
                    <a:prstGeom prst="rect">
                      <a:avLst/>
                    </a:prstGeom>
                  </pic:spPr>
                </pic:pic>
              </a:graphicData>
            </a:graphic>
            <wp14:sizeRelH relativeFrom="margin">
              <wp14:pctWidth>0</wp14:pctWidth>
            </wp14:sizeRelH>
            <wp14:sizeRelV relativeFrom="margin">
              <wp14:pctHeight>0</wp14:pctHeight>
            </wp14:sizeRelV>
          </wp:anchor>
        </w:drawing>
      </w:r>
    </w:p>
    <w:p w14:paraId="2735E141" w14:textId="53CCF42B" w:rsidR="00131838" w:rsidRDefault="00131838">
      <w:pPr>
        <w:pStyle w:val="BodyText"/>
        <w:spacing w:before="34"/>
        <w:rPr>
          <w:lang w:val="es-MX"/>
        </w:rPr>
      </w:pPr>
    </w:p>
    <w:tbl>
      <w:tblPr>
        <w:tblpPr w:leftFromText="180" w:rightFromText="180" w:vertAnchor="text" w:horzAnchor="margin" w:tblpY="31"/>
        <w:tblW w:w="109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89"/>
        <w:gridCol w:w="5476"/>
        <w:gridCol w:w="14"/>
      </w:tblGrid>
      <w:tr w:rsidR="001A1054" w14:paraId="12B291EF" w14:textId="77777777" w:rsidTr="001A1054">
        <w:trPr>
          <w:trHeight w:val="597"/>
        </w:trPr>
        <w:tc>
          <w:tcPr>
            <w:tcW w:w="5489" w:type="dxa"/>
          </w:tcPr>
          <w:p w14:paraId="1D165906" w14:textId="5CEB5CB2" w:rsidR="001A1054" w:rsidRPr="00131838" w:rsidRDefault="001A1054" w:rsidP="00131838">
            <w:pPr>
              <w:pStyle w:val="TableParagraph"/>
              <w:spacing w:before="9"/>
              <w:ind w:left="119"/>
              <w:rPr>
                <w:b/>
                <w:color w:val="7C7C7C"/>
                <w:w w:val="105"/>
                <w:sz w:val="19"/>
                <w:lang w:val="es-MX"/>
              </w:rPr>
            </w:pPr>
            <w:r w:rsidRPr="002431AE">
              <w:rPr>
                <w:b/>
                <w:color w:val="808080"/>
                <w:w w:val="105"/>
                <w:sz w:val="19"/>
                <w:lang w:val="es-MX"/>
              </w:rPr>
              <w:t>DEPARTAMENTO:</w:t>
            </w:r>
            <w:r w:rsidRPr="002431AE">
              <w:rPr>
                <w:b/>
                <w:color w:val="808080"/>
                <w:spacing w:val="3"/>
                <w:w w:val="105"/>
                <w:sz w:val="19"/>
                <w:lang w:val="es-MX"/>
              </w:rPr>
              <w:t xml:space="preserve"> </w:t>
            </w:r>
            <w:r w:rsidRPr="0088650C">
              <w:rPr>
                <w:b/>
                <w:color w:val="808080"/>
                <w:w w:val="105"/>
                <w:sz w:val="19"/>
                <w:lang w:val="es-ES"/>
              </w:rPr>
              <w:t xml:space="preserve">Servicios </w:t>
            </w:r>
            <w:r>
              <w:rPr>
                <w:b/>
                <w:color w:val="808080"/>
                <w:w w:val="105"/>
                <w:sz w:val="19"/>
                <w:lang w:val="es-ES"/>
              </w:rPr>
              <w:t>F</w:t>
            </w:r>
            <w:r w:rsidRPr="0088650C">
              <w:rPr>
                <w:b/>
                <w:color w:val="808080"/>
                <w:w w:val="105"/>
                <w:sz w:val="19"/>
                <w:lang w:val="es-ES"/>
              </w:rPr>
              <w:t xml:space="preserve">inancieros </w:t>
            </w:r>
            <w:r>
              <w:rPr>
                <w:b/>
                <w:color w:val="808080"/>
                <w:w w:val="105"/>
                <w:sz w:val="19"/>
                <w:lang w:val="es-ES"/>
              </w:rPr>
              <w:t>P</w:t>
            </w:r>
            <w:r w:rsidRPr="0088650C">
              <w:rPr>
                <w:b/>
                <w:color w:val="808080"/>
                <w:w w:val="105"/>
                <w:sz w:val="19"/>
                <w:lang w:val="es-ES"/>
              </w:rPr>
              <w:t xml:space="preserve">ara </w:t>
            </w:r>
            <w:r>
              <w:rPr>
                <w:b/>
                <w:color w:val="808080"/>
                <w:w w:val="105"/>
                <w:sz w:val="19"/>
                <w:lang w:val="es-ES"/>
              </w:rPr>
              <w:t>P</w:t>
            </w:r>
            <w:r w:rsidRPr="0088650C">
              <w:rPr>
                <w:b/>
                <w:color w:val="808080"/>
                <w:w w:val="105"/>
                <w:sz w:val="19"/>
                <w:lang w:val="es-ES"/>
              </w:rPr>
              <w:t>acientes</w:t>
            </w:r>
          </w:p>
        </w:tc>
        <w:tc>
          <w:tcPr>
            <w:tcW w:w="5490" w:type="dxa"/>
            <w:gridSpan w:val="2"/>
          </w:tcPr>
          <w:p w14:paraId="7D61F612" w14:textId="4C4FF726" w:rsidR="001A1054" w:rsidRDefault="001A1054" w:rsidP="00131838">
            <w:pPr>
              <w:pStyle w:val="TableParagraph"/>
              <w:spacing w:before="9"/>
              <w:ind w:left="119"/>
              <w:rPr>
                <w:b/>
                <w:color w:val="7C7C7C"/>
                <w:w w:val="105"/>
                <w:sz w:val="19"/>
              </w:rPr>
            </w:pPr>
            <w:r>
              <w:rPr>
                <w:b/>
                <w:color w:val="808080"/>
                <w:w w:val="105"/>
                <w:sz w:val="19"/>
              </w:rPr>
              <w:t>CATEGORÍA:</w:t>
            </w:r>
            <w:r>
              <w:rPr>
                <w:b/>
                <w:color w:val="808080"/>
                <w:spacing w:val="1"/>
                <w:w w:val="105"/>
                <w:sz w:val="19"/>
              </w:rPr>
              <w:t xml:space="preserve"> </w:t>
            </w:r>
            <w:proofErr w:type="spellStart"/>
            <w:r>
              <w:rPr>
                <w:b/>
                <w:color w:val="808080"/>
                <w:spacing w:val="-2"/>
                <w:w w:val="105"/>
                <w:sz w:val="19"/>
              </w:rPr>
              <w:t>Políticas</w:t>
            </w:r>
            <w:proofErr w:type="spellEnd"/>
          </w:p>
        </w:tc>
      </w:tr>
      <w:tr w:rsidR="001A1054" w:rsidRPr="001A1054" w14:paraId="617749CF" w14:textId="77777777" w:rsidTr="001A1054">
        <w:trPr>
          <w:gridAfter w:val="1"/>
          <w:wAfter w:w="14" w:type="dxa"/>
          <w:trHeight w:val="619"/>
        </w:trPr>
        <w:tc>
          <w:tcPr>
            <w:tcW w:w="10965" w:type="dxa"/>
            <w:gridSpan w:val="2"/>
            <w:tcBorders>
              <w:bottom w:val="single" w:sz="6" w:space="0" w:color="000000"/>
            </w:tcBorders>
          </w:tcPr>
          <w:p w14:paraId="117DEA09" w14:textId="32C94885" w:rsidR="001A1054" w:rsidRPr="00131838" w:rsidRDefault="001A1054" w:rsidP="00131838">
            <w:pPr>
              <w:pStyle w:val="TableParagraph"/>
              <w:spacing w:before="16"/>
              <w:ind w:left="112"/>
              <w:rPr>
                <w:b/>
                <w:color w:val="7C7C7C"/>
                <w:w w:val="105"/>
                <w:sz w:val="19"/>
                <w:lang w:val="es-MX"/>
              </w:rPr>
            </w:pPr>
            <w:r w:rsidRPr="002431AE">
              <w:rPr>
                <w:b/>
                <w:color w:val="808080"/>
                <w:w w:val="105"/>
                <w:sz w:val="19"/>
                <w:lang w:val="es-MX"/>
              </w:rPr>
              <w:t>SUJETO:</w:t>
            </w:r>
            <w:r w:rsidRPr="002431AE">
              <w:rPr>
                <w:b/>
                <w:color w:val="808080"/>
                <w:spacing w:val="74"/>
                <w:w w:val="150"/>
                <w:sz w:val="19"/>
                <w:lang w:val="es-MX"/>
              </w:rPr>
              <w:t xml:space="preserve"> </w:t>
            </w:r>
            <w:r w:rsidRPr="0088650C">
              <w:rPr>
                <w:b/>
                <w:color w:val="808080"/>
                <w:w w:val="105"/>
                <w:sz w:val="19"/>
                <w:lang w:val="es-ES"/>
              </w:rPr>
              <w:t>Programa de ayuda financiera/descuento benéfico o atención caritativa parcial</w:t>
            </w:r>
          </w:p>
        </w:tc>
      </w:tr>
    </w:tbl>
    <w:p w14:paraId="68633F65" w14:textId="4DAD5026" w:rsidR="00131838" w:rsidRPr="001A1054" w:rsidRDefault="00131838">
      <w:pPr>
        <w:pStyle w:val="BodyText"/>
        <w:spacing w:before="34"/>
        <w:rPr>
          <w:lang w:val="es-MX"/>
        </w:rPr>
      </w:pPr>
    </w:p>
    <w:p w14:paraId="47D921C3" w14:textId="237DA8F0" w:rsidR="005053F5" w:rsidRPr="00131838" w:rsidRDefault="00131838">
      <w:pPr>
        <w:pStyle w:val="Heading1"/>
        <w:rPr>
          <w:lang w:val="es-MX"/>
        </w:rPr>
      </w:pPr>
      <w:r w:rsidRPr="00131838">
        <w:rPr>
          <w:color w:val="808080"/>
          <w:w w:val="105"/>
          <w:lang w:val="es-MX"/>
        </w:rPr>
        <w:t>Resumen del programa de descuento benéfico o atención caritativa parcial</w:t>
      </w:r>
    </w:p>
    <w:p w14:paraId="00DCD9D2" w14:textId="77777777" w:rsidR="00131838" w:rsidRDefault="00131838" w:rsidP="00131838">
      <w:pPr>
        <w:pStyle w:val="BodyText"/>
        <w:spacing w:before="17" w:line="252" w:lineRule="auto"/>
        <w:ind w:left="126" w:right="447" w:hanging="5"/>
        <w:rPr>
          <w:color w:val="909090"/>
          <w:w w:val="105"/>
        </w:rPr>
      </w:pPr>
    </w:p>
    <w:p w14:paraId="5B071D42" w14:textId="10824DDF" w:rsidR="005053F5" w:rsidRPr="00131838" w:rsidRDefault="00131838" w:rsidP="00131838">
      <w:pPr>
        <w:pStyle w:val="BodyText"/>
        <w:spacing w:before="17" w:line="252" w:lineRule="auto"/>
        <w:ind w:left="126" w:right="447" w:hanging="5"/>
        <w:rPr>
          <w:sz w:val="20"/>
          <w:lang w:val="es-MX"/>
        </w:rPr>
      </w:pPr>
      <w:r w:rsidRPr="00131838">
        <w:rPr>
          <w:color w:val="909090"/>
          <w:w w:val="105"/>
          <w:lang w:val="es-MX"/>
        </w:rPr>
        <w:t>La atención caritativa se define como la incapacidad de pagar los servicios médicos por los montos elegibles adeudados a CIH. CIH ofrece atención caritativa (atención gratuita) y/o atención caritativa parcial (pago con descuento) dependiendo de la prueba de recursos como se describe en el programa.</w:t>
      </w:r>
    </w:p>
    <w:p w14:paraId="185A1C8D" w14:textId="77777777" w:rsidR="004E0157" w:rsidRPr="00131838" w:rsidRDefault="004E0157">
      <w:pPr>
        <w:pStyle w:val="BodyText"/>
        <w:spacing w:before="78"/>
        <w:rPr>
          <w:sz w:val="20"/>
          <w:lang w:val="es-MX"/>
        </w:rPr>
      </w:pPr>
    </w:p>
    <w:p w14:paraId="066F9B9A" w14:textId="7301253F" w:rsidR="005053F5" w:rsidRPr="00131838" w:rsidRDefault="00131838">
      <w:pPr>
        <w:pStyle w:val="BodyText"/>
        <w:spacing w:before="12" w:line="249" w:lineRule="auto"/>
        <w:ind w:left="126" w:right="447"/>
        <w:rPr>
          <w:color w:val="7C7C7C"/>
          <w:w w:val="105"/>
          <w:lang w:val="es-MX"/>
        </w:rPr>
      </w:pPr>
      <w:r w:rsidRPr="00131838">
        <w:rPr>
          <w:color w:val="6B6B6B"/>
          <w:w w:val="105"/>
          <w:lang w:val="es-MX"/>
        </w:rPr>
        <w:t>Se espera que los pacientes completen de manera precisa y oportuna una Solicitud de evaluación de asistencia financiera, consulte el Apéndice A (Solicitud de evaluación de asistencia financiera) para obtener una copia de la solicitud y cooperen con el Departamento de Servicios financieros para pacientes de CIH para obtener la información de respaldo necesaria. Al paciente se le permitirán tres semanas (3) para completar la Solicitud de evaluación de asistencia financiera. La solicitud se utiliza para determinar la elegibilidad para recibir asistencia financiera. La atención caritativa y/o los descuentos parciales en atención caritativa se ofrecerán de acuerdo con la necesidad financiera.</w:t>
      </w:r>
    </w:p>
    <w:p w14:paraId="29F3C837" w14:textId="77777777" w:rsidR="00131838" w:rsidRPr="00131838" w:rsidRDefault="00131838">
      <w:pPr>
        <w:pStyle w:val="BodyText"/>
        <w:spacing w:before="12" w:line="249" w:lineRule="auto"/>
        <w:ind w:left="126" w:right="447"/>
        <w:rPr>
          <w:lang w:val="es-MX"/>
        </w:rPr>
      </w:pPr>
    </w:p>
    <w:p w14:paraId="02B11C1F" w14:textId="77777777" w:rsidR="005053F5" w:rsidRPr="00131838" w:rsidRDefault="005053F5">
      <w:pPr>
        <w:pStyle w:val="BodyText"/>
        <w:spacing w:before="18"/>
        <w:rPr>
          <w:lang w:val="es-MX"/>
        </w:rPr>
      </w:pPr>
    </w:p>
    <w:p w14:paraId="5F907513" w14:textId="25C12D80" w:rsidR="005053F5" w:rsidRDefault="00131838">
      <w:pPr>
        <w:pStyle w:val="Heading1"/>
        <w:spacing w:before="1" w:line="257" w:lineRule="exact"/>
        <w:ind w:left="133"/>
      </w:pPr>
      <w:proofErr w:type="spellStart"/>
      <w:r w:rsidRPr="00131838">
        <w:rPr>
          <w:color w:val="7C7C7C"/>
        </w:rPr>
        <w:t>Criterio</w:t>
      </w:r>
      <w:proofErr w:type="spellEnd"/>
      <w:r w:rsidRPr="00131838">
        <w:rPr>
          <w:color w:val="7C7C7C"/>
        </w:rPr>
        <w:t xml:space="preserve"> de </w:t>
      </w:r>
      <w:proofErr w:type="spellStart"/>
      <w:r w:rsidRPr="00131838">
        <w:rPr>
          <w:color w:val="7C7C7C"/>
        </w:rPr>
        <w:t>elegibilidad</w:t>
      </w:r>
      <w:proofErr w:type="spellEnd"/>
    </w:p>
    <w:p w14:paraId="7C4E15D4" w14:textId="77777777" w:rsidR="001A1054" w:rsidRPr="001A1054" w:rsidRDefault="006C6DDC" w:rsidP="001A1054">
      <w:pPr>
        <w:pStyle w:val="ListParagraph"/>
        <w:numPr>
          <w:ilvl w:val="0"/>
          <w:numId w:val="10"/>
        </w:numPr>
        <w:tabs>
          <w:tab w:val="left" w:pos="491"/>
          <w:tab w:val="left" w:pos="493"/>
        </w:tabs>
        <w:spacing w:before="36" w:line="194" w:lineRule="auto"/>
        <w:ind w:right="1019"/>
        <w:rPr>
          <w:color w:val="7C7C7C"/>
          <w:w w:val="105"/>
          <w:sz w:val="23"/>
        </w:rPr>
      </w:pPr>
      <w:r w:rsidRPr="00131838">
        <w:rPr>
          <w:color w:val="7C7C7C"/>
          <w:position w:val="-4"/>
          <w:sz w:val="34"/>
          <w:lang w:val="es-MX"/>
        </w:rPr>
        <w:tab/>
      </w:r>
      <w:r w:rsidR="00131838" w:rsidRPr="00131838">
        <w:rPr>
          <w:color w:val="7C7C7C"/>
          <w:w w:val="105"/>
          <w:sz w:val="23"/>
          <w:lang w:val="es-MX"/>
        </w:rPr>
        <w:t>Se considerará la elegibilidad para atención caritativa/atención caritativa parcial para aquellas personas que proporcionen documentación de no elegibilidad para programas patrocinados por el gobierno. La documentación de inelegibilidad es normalmente se obtiene al solicitar y ser negado cobertura bajo un programa patrocinado por el gobierno. El ingreso familiar es igual o inferior al 400 % del nivel federal de pobreza (FPL). Todos los servicios médicamente necesarios son elegibles para el programa de pago con descuento.</w:t>
      </w:r>
    </w:p>
    <w:p w14:paraId="4DF9E050" w14:textId="4BA10BCA" w:rsidR="005053F5" w:rsidRPr="001A1054" w:rsidRDefault="00131838" w:rsidP="001A1054">
      <w:pPr>
        <w:pStyle w:val="ListParagraph"/>
        <w:numPr>
          <w:ilvl w:val="0"/>
          <w:numId w:val="10"/>
        </w:numPr>
        <w:tabs>
          <w:tab w:val="left" w:pos="491"/>
          <w:tab w:val="left" w:pos="493"/>
        </w:tabs>
        <w:spacing w:before="36" w:line="194" w:lineRule="auto"/>
        <w:ind w:right="1019"/>
        <w:rPr>
          <w:color w:val="7C7C7C"/>
          <w:w w:val="105"/>
          <w:sz w:val="23"/>
        </w:rPr>
      </w:pPr>
      <w:r w:rsidRPr="001A1054">
        <w:rPr>
          <w:color w:val="7C7C7C"/>
          <w:w w:val="105"/>
          <w:sz w:val="23"/>
          <w:lang w:val="es-MX"/>
        </w:rPr>
        <w:t>Se considerará la elegibilidad para atención caritativa/caridad parcial para aquellas personas que no tienen seguro (también conocido como paciente que paga por su cuenta) y el ingreso familiar es igual o inferior al 400 % del FPL publicado en el Registro Federal.</w:t>
      </w:r>
      <w:r w:rsidR="001A1054" w:rsidRPr="001A1054">
        <w:rPr>
          <w:color w:val="7C7C7C"/>
          <w:w w:val="105"/>
          <w:sz w:val="23"/>
          <w:lang w:val="es-MX"/>
        </w:rPr>
        <w:t xml:space="preserve"> </w:t>
      </w:r>
      <w:r w:rsidR="001A1054" w:rsidRPr="001A1054">
        <w:rPr>
          <w:color w:val="7C7C7C"/>
          <w:w w:val="105"/>
          <w:lang w:val="es-MX"/>
        </w:rPr>
        <w:t>El paciente debe proporcionar documentación de inelegibilidad para cualquiera de los siguientes:</w:t>
      </w:r>
    </w:p>
    <w:p w14:paraId="061F32C9" w14:textId="34D51992" w:rsidR="005053F5" w:rsidRPr="001A1054" w:rsidRDefault="001A1054">
      <w:pPr>
        <w:pStyle w:val="ListParagraph"/>
        <w:numPr>
          <w:ilvl w:val="0"/>
          <w:numId w:val="7"/>
        </w:numPr>
        <w:tabs>
          <w:tab w:val="left" w:pos="843"/>
          <w:tab w:val="left" w:pos="845"/>
        </w:tabs>
        <w:spacing w:before="10" w:line="249" w:lineRule="auto"/>
        <w:ind w:right="678" w:hanging="345"/>
        <w:jc w:val="both"/>
        <w:rPr>
          <w:color w:val="7C7C7C"/>
          <w:sz w:val="23"/>
          <w:lang w:val="es-MX"/>
        </w:rPr>
      </w:pPr>
      <w:r w:rsidRPr="001A1054">
        <w:rPr>
          <w:color w:val="7C7C7C"/>
          <w:w w:val="105"/>
          <w:sz w:val="23"/>
          <w:lang w:val="es-MX"/>
        </w:rPr>
        <w:t xml:space="preserve">Programas gubernamentales de beneficios de atención médica (como </w:t>
      </w:r>
      <w:proofErr w:type="spellStart"/>
      <w:r w:rsidRPr="001A1054">
        <w:rPr>
          <w:color w:val="7C7C7C"/>
          <w:w w:val="105"/>
          <w:sz w:val="23"/>
          <w:lang w:val="es-MX"/>
        </w:rPr>
        <w:t>Medi</w:t>
      </w:r>
      <w:proofErr w:type="spellEnd"/>
      <w:r w:rsidRPr="001A1054">
        <w:rPr>
          <w:color w:val="7C7C7C"/>
          <w:w w:val="105"/>
          <w:sz w:val="23"/>
          <w:lang w:val="es-MX"/>
        </w:rPr>
        <w:t xml:space="preserve">-Cal, </w:t>
      </w:r>
      <w:proofErr w:type="spellStart"/>
      <w:r w:rsidRPr="001A1054">
        <w:rPr>
          <w:color w:val="7C7C7C"/>
          <w:w w:val="105"/>
          <w:sz w:val="23"/>
          <w:lang w:val="es-MX"/>
        </w:rPr>
        <w:t>Healthy</w:t>
      </w:r>
      <w:proofErr w:type="spellEnd"/>
      <w:r w:rsidRPr="001A1054">
        <w:rPr>
          <w:color w:val="7C7C7C"/>
          <w:w w:val="105"/>
          <w:sz w:val="23"/>
          <w:lang w:val="es-MX"/>
        </w:rPr>
        <w:t xml:space="preserve"> </w:t>
      </w:r>
      <w:proofErr w:type="spellStart"/>
      <w:r w:rsidRPr="001A1054">
        <w:rPr>
          <w:color w:val="7C7C7C"/>
          <w:w w:val="105"/>
          <w:sz w:val="23"/>
          <w:lang w:val="es-MX"/>
        </w:rPr>
        <w:t>Families</w:t>
      </w:r>
      <w:proofErr w:type="spellEnd"/>
      <w:r w:rsidRPr="001A1054">
        <w:rPr>
          <w:color w:val="7C7C7C"/>
          <w:w w:val="105"/>
          <w:sz w:val="23"/>
          <w:lang w:val="es-MX"/>
        </w:rPr>
        <w:t xml:space="preserve">, California </w:t>
      </w:r>
      <w:proofErr w:type="spellStart"/>
      <w:r w:rsidRPr="001A1054">
        <w:rPr>
          <w:color w:val="7C7C7C"/>
          <w:w w:val="105"/>
          <w:sz w:val="23"/>
          <w:lang w:val="es-MX"/>
        </w:rPr>
        <w:t>Children's</w:t>
      </w:r>
      <w:proofErr w:type="spellEnd"/>
      <w:r w:rsidRPr="001A1054">
        <w:rPr>
          <w:color w:val="7C7C7C"/>
          <w:w w:val="105"/>
          <w:sz w:val="23"/>
          <w:lang w:val="es-MX"/>
        </w:rPr>
        <w:t xml:space="preserve"> Services o Medicare, etc.).</w:t>
      </w:r>
    </w:p>
    <w:p w14:paraId="75EBF4B3" w14:textId="707FB511" w:rsidR="005053F5" w:rsidRPr="001A1054" w:rsidRDefault="006C6DDC">
      <w:pPr>
        <w:pStyle w:val="ListParagraph"/>
        <w:numPr>
          <w:ilvl w:val="0"/>
          <w:numId w:val="7"/>
        </w:numPr>
        <w:tabs>
          <w:tab w:val="left" w:pos="844"/>
          <w:tab w:val="left" w:pos="849"/>
        </w:tabs>
        <w:spacing w:before="12" w:line="249" w:lineRule="auto"/>
        <w:ind w:left="844" w:right="490" w:hanging="351"/>
        <w:jc w:val="both"/>
        <w:rPr>
          <w:color w:val="8E8E8E"/>
          <w:sz w:val="23"/>
          <w:lang w:val="es-MX"/>
        </w:rPr>
      </w:pPr>
      <w:r w:rsidRPr="001A1054">
        <w:rPr>
          <w:color w:val="8E8E8E"/>
          <w:sz w:val="23"/>
          <w:lang w:val="es-MX"/>
        </w:rPr>
        <w:tab/>
      </w:r>
      <w:r w:rsidR="001A1054" w:rsidRPr="001A1054">
        <w:rPr>
          <w:color w:val="7C7C7C"/>
          <w:w w:val="105"/>
          <w:sz w:val="23"/>
          <w:lang w:val="es-MX"/>
        </w:rPr>
        <w:t>Un paciente cuya lesión no es una lesión compensable a efectos de compensación laboral, seguro de automóvil u otro seguro según lo determine y documente CIH y/o no puede pagar su atención, según una determinación de necesidad financiera de acuerdo con este programa.</w:t>
      </w:r>
    </w:p>
    <w:p w14:paraId="78177341" w14:textId="46E12B4D" w:rsidR="005053F5" w:rsidRPr="001A1054" w:rsidRDefault="006C6DDC">
      <w:pPr>
        <w:pStyle w:val="ListParagraph"/>
        <w:numPr>
          <w:ilvl w:val="0"/>
          <w:numId w:val="6"/>
        </w:numPr>
        <w:tabs>
          <w:tab w:val="left" w:pos="490"/>
          <w:tab w:val="left" w:pos="492"/>
        </w:tabs>
        <w:spacing w:before="16" w:line="194" w:lineRule="auto"/>
        <w:ind w:right="551" w:hanging="365"/>
        <w:rPr>
          <w:rFonts w:ascii="Arial" w:hAnsi="Arial"/>
          <w:color w:val="7C7C7C"/>
          <w:position w:val="-5"/>
          <w:sz w:val="35"/>
          <w:lang w:val="es-MX"/>
        </w:rPr>
      </w:pPr>
      <w:r w:rsidRPr="001A1054">
        <w:rPr>
          <w:color w:val="7C7C7C"/>
          <w:position w:val="-5"/>
          <w:sz w:val="23"/>
          <w:lang w:val="es-MX"/>
        </w:rPr>
        <w:tab/>
      </w:r>
      <w:r w:rsidR="001A1054" w:rsidRPr="001A1054">
        <w:rPr>
          <w:color w:val="7C7C7C"/>
          <w:w w:val="105"/>
          <w:sz w:val="23"/>
          <w:lang w:val="es-MX"/>
        </w:rPr>
        <w:t>Se considerará la elegibilidad para atención caritativa/atención parcial para aquellas personas que incurrieron en costos médicos elevados durante los doce (12) meses anteriores.</w:t>
      </w:r>
    </w:p>
    <w:p w14:paraId="2FF663A8" w14:textId="77777777" w:rsidR="001A1054" w:rsidRPr="001A1054" w:rsidRDefault="006C6DDC" w:rsidP="001A1054">
      <w:pPr>
        <w:pStyle w:val="ListParagraph"/>
        <w:numPr>
          <w:ilvl w:val="0"/>
          <w:numId w:val="6"/>
        </w:numPr>
        <w:tabs>
          <w:tab w:val="left" w:pos="490"/>
          <w:tab w:val="left" w:pos="496"/>
        </w:tabs>
        <w:spacing w:before="25" w:line="199" w:lineRule="auto"/>
        <w:ind w:right="399"/>
        <w:rPr>
          <w:color w:val="7C7C7C"/>
          <w:position w:val="-4"/>
          <w:sz w:val="34"/>
          <w:lang w:val="es-MX"/>
        </w:rPr>
      </w:pPr>
      <w:r w:rsidRPr="001A1054">
        <w:rPr>
          <w:color w:val="7C7C7C"/>
          <w:position w:val="-4"/>
          <w:sz w:val="34"/>
          <w:lang w:val="es-MX"/>
        </w:rPr>
        <w:tab/>
      </w:r>
      <w:r w:rsidR="001A1054" w:rsidRPr="001A1054">
        <w:rPr>
          <w:color w:val="7C7C7C"/>
          <w:w w:val="105"/>
          <w:sz w:val="23"/>
          <w:lang w:val="es-MX"/>
        </w:rPr>
        <w:t xml:space="preserve">Un paciente que está </w:t>
      </w:r>
      <w:proofErr w:type="gramStart"/>
      <w:r w:rsidR="001A1054" w:rsidRPr="001A1054">
        <w:rPr>
          <w:color w:val="7C7C7C"/>
          <w:w w:val="105"/>
          <w:sz w:val="23"/>
          <w:lang w:val="es-MX"/>
        </w:rPr>
        <w:t>asegurado</w:t>
      </w:r>
      <w:proofErr w:type="gramEnd"/>
      <w:r w:rsidR="001A1054" w:rsidRPr="001A1054">
        <w:rPr>
          <w:color w:val="7C7C7C"/>
          <w:w w:val="105"/>
          <w:sz w:val="23"/>
          <w:lang w:val="es-MX"/>
        </w:rPr>
        <w:t xml:space="preserve"> pero tiene "costos médicos altos" y que está en el 400% o menos del FPL es elegible para solicitar atención caritativa. La atención caritativa o la atención caritativa parcial se aplican a la parte de la factura que es</w:t>
      </w:r>
      <w:r w:rsidR="001A1054">
        <w:rPr>
          <w:color w:val="7C7C7C"/>
          <w:w w:val="105"/>
          <w:sz w:val="23"/>
          <w:lang w:val="es-MX"/>
        </w:rPr>
        <w:t xml:space="preserve"> </w:t>
      </w:r>
      <w:r w:rsidR="001A1054" w:rsidRPr="001A1054">
        <w:rPr>
          <w:color w:val="7C7C7C"/>
          <w:w w:val="105"/>
          <w:sz w:val="23"/>
          <w:lang w:val="es-MX"/>
        </w:rPr>
        <w:t>responsabilidad del paciente, incluidos copagos y deducibles. Cualquier responsabilidad del paciente que se base en una tarifa con descuento de los cargos de CIH negociada entre CIH y la aseguradora no es elegible para ser considerada para atención caritativa o atención caritativa parcial.</w:t>
      </w:r>
    </w:p>
    <w:p w14:paraId="3EE7D69B" w14:textId="618B16CB" w:rsidR="005053F5" w:rsidRPr="001A1054" w:rsidRDefault="001A1054" w:rsidP="001A1054">
      <w:pPr>
        <w:pStyle w:val="ListParagraph"/>
        <w:numPr>
          <w:ilvl w:val="0"/>
          <w:numId w:val="6"/>
        </w:numPr>
        <w:tabs>
          <w:tab w:val="left" w:pos="490"/>
          <w:tab w:val="left" w:pos="496"/>
        </w:tabs>
        <w:spacing w:before="25" w:line="199" w:lineRule="auto"/>
        <w:ind w:right="399"/>
        <w:rPr>
          <w:color w:val="7C7C7C"/>
          <w:position w:val="-4"/>
          <w:sz w:val="34"/>
          <w:lang w:val="es-MX"/>
        </w:rPr>
      </w:pPr>
      <w:r w:rsidRPr="001A1054">
        <w:rPr>
          <w:color w:val="7C7C7C"/>
          <w:w w:val="105"/>
          <w:sz w:val="23"/>
          <w:lang w:val="es-MX"/>
        </w:rPr>
        <w:t xml:space="preserve">La presencia de una quiebra documentada reciente no excluye a un paciente de la consideración de elegibilidad para recibir asistencia financiera, ya sea para organizaciones benéficas o para opciones de pago con descuento. La solicitud de revisión será </w:t>
      </w:r>
      <w:proofErr w:type="gramStart"/>
      <w:r w:rsidRPr="001A1054">
        <w:rPr>
          <w:color w:val="7C7C7C"/>
          <w:w w:val="105"/>
          <w:sz w:val="23"/>
          <w:lang w:val="es-MX"/>
        </w:rPr>
        <w:t>dirigido</w:t>
      </w:r>
      <w:proofErr w:type="gramEnd"/>
      <w:r w:rsidRPr="001A1054">
        <w:rPr>
          <w:color w:val="7C7C7C"/>
          <w:w w:val="105"/>
          <w:sz w:val="23"/>
          <w:lang w:val="es-MX"/>
        </w:rPr>
        <w:t xml:space="preserve"> a Servicios Financieros para Pacientes para su presentación al Contralor para su evaluación.</w:t>
      </w:r>
    </w:p>
    <w:p w14:paraId="5F20CF86" w14:textId="5F1B03D6" w:rsidR="005053F5" w:rsidRPr="001A1054" w:rsidRDefault="006C6DDC">
      <w:pPr>
        <w:pStyle w:val="ListParagraph"/>
        <w:numPr>
          <w:ilvl w:val="0"/>
          <w:numId w:val="6"/>
        </w:numPr>
        <w:tabs>
          <w:tab w:val="left" w:pos="497"/>
          <w:tab w:val="left" w:pos="499"/>
        </w:tabs>
        <w:spacing w:before="40" w:line="194" w:lineRule="auto"/>
        <w:ind w:left="497" w:right="1063" w:hanging="365"/>
        <w:rPr>
          <w:color w:val="7C7C7C"/>
          <w:position w:val="-4"/>
          <w:sz w:val="34"/>
          <w:lang w:val="es-MX"/>
        </w:rPr>
      </w:pPr>
      <w:r w:rsidRPr="001A1054">
        <w:rPr>
          <w:color w:val="7C7C7C"/>
          <w:position w:val="-4"/>
          <w:sz w:val="34"/>
          <w:lang w:val="es-MX"/>
        </w:rPr>
        <w:tab/>
      </w:r>
      <w:r w:rsidR="001A1054" w:rsidRPr="001A1054">
        <w:rPr>
          <w:color w:val="7C7C7C"/>
          <w:w w:val="105"/>
          <w:sz w:val="23"/>
          <w:lang w:val="es-MX"/>
        </w:rPr>
        <w:t>Si el paciente falleció y no se encontró ningún patrimonio, el paciente calificará para recibir 100% de caridad sin presentar una solicitud.</w:t>
      </w:r>
    </w:p>
    <w:p w14:paraId="08C63202" w14:textId="56F32C95" w:rsidR="001A1054" w:rsidRDefault="001A1054">
      <w:pPr>
        <w:rPr>
          <w:sz w:val="23"/>
          <w:szCs w:val="23"/>
          <w:lang w:val="es-MX"/>
        </w:rPr>
      </w:pPr>
      <w:r>
        <w:rPr>
          <w:lang w:val="es-MX"/>
        </w:rPr>
        <w:br w:type="page"/>
      </w:r>
    </w:p>
    <w:p w14:paraId="4A023A74" w14:textId="6A6C38A6" w:rsidR="005053F5" w:rsidRPr="001A1054" w:rsidRDefault="001A1054">
      <w:pPr>
        <w:pStyle w:val="BodyText"/>
        <w:spacing w:before="44"/>
        <w:rPr>
          <w:lang w:val="es-MX"/>
        </w:rPr>
      </w:pPr>
      <w:r>
        <w:rPr>
          <w:noProof/>
          <w:color w:val="AAAAAA"/>
          <w:spacing w:val="-16"/>
          <w:w w:val="64"/>
          <w:sz w:val="24"/>
        </w:rPr>
        <w:lastRenderedPageBreak/>
        <w:drawing>
          <wp:anchor distT="0" distB="0" distL="114300" distR="114300" simplePos="0" relativeHeight="487351808" behindDoc="1" locked="0" layoutInCell="1" allowOverlap="1" wp14:anchorId="0889B30D" wp14:editId="4E895B69">
            <wp:simplePos x="0" y="0"/>
            <wp:positionH relativeFrom="margin">
              <wp:posOffset>1606550</wp:posOffset>
            </wp:positionH>
            <wp:positionV relativeFrom="paragraph">
              <wp:posOffset>-420591</wp:posOffset>
            </wp:positionV>
            <wp:extent cx="3921125" cy="816610"/>
            <wp:effectExtent l="0" t="0" r="3175" b="2540"/>
            <wp:wrapNone/>
            <wp:docPr id="186660216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9227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1125" cy="816610"/>
                    </a:xfrm>
                    <a:prstGeom prst="rect">
                      <a:avLst/>
                    </a:prstGeom>
                  </pic:spPr>
                </pic:pic>
              </a:graphicData>
            </a:graphic>
            <wp14:sizeRelH relativeFrom="margin">
              <wp14:pctWidth>0</wp14:pctWidth>
            </wp14:sizeRelH>
            <wp14:sizeRelV relativeFrom="margin">
              <wp14:pctHeight>0</wp14:pctHeight>
            </wp14:sizeRelV>
          </wp:anchor>
        </w:drawing>
      </w:r>
    </w:p>
    <w:p w14:paraId="3679208A" w14:textId="2CBFD8F6" w:rsidR="005053F5" w:rsidRDefault="001A1054">
      <w:pPr>
        <w:pStyle w:val="Heading1"/>
        <w:ind w:left="143"/>
      </w:pPr>
      <w:proofErr w:type="spellStart"/>
      <w:r w:rsidRPr="001A1054">
        <w:rPr>
          <w:color w:val="7C7C7C"/>
        </w:rPr>
        <w:t>Cronograma</w:t>
      </w:r>
      <w:proofErr w:type="spellEnd"/>
      <w:r w:rsidRPr="001A1054">
        <w:rPr>
          <w:color w:val="7C7C7C"/>
        </w:rPr>
        <w:t xml:space="preserve"> de </w:t>
      </w:r>
      <w:proofErr w:type="spellStart"/>
      <w:r w:rsidRPr="001A1054">
        <w:rPr>
          <w:color w:val="7C7C7C"/>
        </w:rPr>
        <w:t>calificación</w:t>
      </w:r>
      <w:proofErr w:type="spellEnd"/>
    </w:p>
    <w:tbl>
      <w:tblPr>
        <w:tblpPr w:leftFromText="180" w:rightFromText="180" w:vertAnchor="text" w:horzAnchor="margin" w:tblpY="-1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92"/>
        <w:gridCol w:w="5499"/>
      </w:tblGrid>
      <w:tr w:rsidR="001A1054" w14:paraId="5FD02506" w14:textId="77777777" w:rsidTr="001A1054">
        <w:trPr>
          <w:trHeight w:val="597"/>
        </w:trPr>
        <w:tc>
          <w:tcPr>
            <w:tcW w:w="5492" w:type="dxa"/>
          </w:tcPr>
          <w:p w14:paraId="0488CBB4" w14:textId="5F8FFE46" w:rsidR="001A1054" w:rsidRPr="001A1054" w:rsidRDefault="001A1054" w:rsidP="001A1054">
            <w:pPr>
              <w:pStyle w:val="TableParagraph"/>
              <w:spacing w:before="16"/>
              <w:ind w:left="126"/>
              <w:rPr>
                <w:b/>
                <w:sz w:val="19"/>
                <w:lang w:val="es-MX"/>
              </w:rPr>
            </w:pPr>
            <w:r w:rsidRPr="002431AE">
              <w:rPr>
                <w:b/>
                <w:color w:val="808080"/>
                <w:w w:val="105"/>
                <w:sz w:val="19"/>
                <w:lang w:val="es-MX"/>
              </w:rPr>
              <w:t>DEPARTAMENTO:</w:t>
            </w:r>
            <w:r w:rsidRPr="002431AE">
              <w:rPr>
                <w:b/>
                <w:color w:val="808080"/>
                <w:spacing w:val="3"/>
                <w:w w:val="105"/>
                <w:sz w:val="19"/>
                <w:lang w:val="es-MX"/>
              </w:rPr>
              <w:t xml:space="preserve"> </w:t>
            </w:r>
            <w:r w:rsidRPr="0088650C">
              <w:rPr>
                <w:b/>
                <w:color w:val="808080"/>
                <w:w w:val="105"/>
                <w:sz w:val="19"/>
                <w:lang w:val="es-ES"/>
              </w:rPr>
              <w:t xml:space="preserve">Servicios </w:t>
            </w:r>
            <w:r>
              <w:rPr>
                <w:b/>
                <w:color w:val="808080"/>
                <w:w w:val="105"/>
                <w:sz w:val="19"/>
                <w:lang w:val="es-ES"/>
              </w:rPr>
              <w:t>F</w:t>
            </w:r>
            <w:r w:rsidRPr="0088650C">
              <w:rPr>
                <w:b/>
                <w:color w:val="808080"/>
                <w:w w:val="105"/>
                <w:sz w:val="19"/>
                <w:lang w:val="es-ES"/>
              </w:rPr>
              <w:t xml:space="preserve">inancieros </w:t>
            </w:r>
            <w:r>
              <w:rPr>
                <w:b/>
                <w:color w:val="808080"/>
                <w:w w:val="105"/>
                <w:sz w:val="19"/>
                <w:lang w:val="es-ES"/>
              </w:rPr>
              <w:t>P</w:t>
            </w:r>
            <w:r w:rsidRPr="0088650C">
              <w:rPr>
                <w:b/>
                <w:color w:val="808080"/>
                <w:w w:val="105"/>
                <w:sz w:val="19"/>
                <w:lang w:val="es-ES"/>
              </w:rPr>
              <w:t xml:space="preserve">ara </w:t>
            </w:r>
            <w:r>
              <w:rPr>
                <w:b/>
                <w:color w:val="808080"/>
                <w:w w:val="105"/>
                <w:sz w:val="19"/>
                <w:lang w:val="es-ES"/>
              </w:rPr>
              <w:t>P</w:t>
            </w:r>
            <w:r w:rsidRPr="0088650C">
              <w:rPr>
                <w:b/>
                <w:color w:val="808080"/>
                <w:w w:val="105"/>
                <w:sz w:val="19"/>
                <w:lang w:val="es-ES"/>
              </w:rPr>
              <w:t>acientes</w:t>
            </w:r>
          </w:p>
        </w:tc>
        <w:tc>
          <w:tcPr>
            <w:tcW w:w="5499" w:type="dxa"/>
          </w:tcPr>
          <w:p w14:paraId="0EFB7550" w14:textId="444F17E0" w:rsidR="001A1054" w:rsidRDefault="001A1054" w:rsidP="001A1054">
            <w:pPr>
              <w:pStyle w:val="TableParagraph"/>
              <w:spacing w:before="16"/>
              <w:ind w:left="114"/>
              <w:rPr>
                <w:b/>
                <w:sz w:val="19"/>
              </w:rPr>
            </w:pPr>
            <w:r>
              <w:rPr>
                <w:b/>
                <w:color w:val="808080"/>
                <w:w w:val="105"/>
                <w:sz w:val="19"/>
              </w:rPr>
              <w:t>CATEGORÍA:</w:t>
            </w:r>
            <w:r>
              <w:rPr>
                <w:b/>
                <w:color w:val="808080"/>
                <w:spacing w:val="1"/>
                <w:w w:val="105"/>
                <w:sz w:val="19"/>
              </w:rPr>
              <w:t xml:space="preserve"> </w:t>
            </w:r>
            <w:proofErr w:type="spellStart"/>
            <w:r>
              <w:rPr>
                <w:b/>
                <w:color w:val="808080"/>
                <w:spacing w:val="-2"/>
                <w:w w:val="105"/>
                <w:sz w:val="19"/>
              </w:rPr>
              <w:t>Políticas</w:t>
            </w:r>
            <w:proofErr w:type="spellEnd"/>
          </w:p>
        </w:tc>
      </w:tr>
      <w:tr w:rsidR="001A1054" w:rsidRPr="001A1054" w14:paraId="7CE5407B" w14:textId="77777777" w:rsidTr="001A1054">
        <w:trPr>
          <w:trHeight w:val="611"/>
        </w:trPr>
        <w:tc>
          <w:tcPr>
            <w:tcW w:w="10991" w:type="dxa"/>
            <w:gridSpan w:val="2"/>
          </w:tcPr>
          <w:p w14:paraId="4F294267" w14:textId="0B0DDE81" w:rsidR="001A1054" w:rsidRPr="001A1054" w:rsidRDefault="001A1054" w:rsidP="001A1054">
            <w:pPr>
              <w:pStyle w:val="TableParagraph"/>
              <w:spacing w:before="16"/>
              <w:ind w:left="112"/>
              <w:rPr>
                <w:b/>
                <w:sz w:val="19"/>
                <w:lang w:val="es-MX"/>
              </w:rPr>
            </w:pPr>
            <w:r w:rsidRPr="002431AE">
              <w:rPr>
                <w:b/>
                <w:color w:val="808080"/>
                <w:w w:val="105"/>
                <w:sz w:val="19"/>
                <w:lang w:val="es-MX"/>
              </w:rPr>
              <w:t>SUJETO:</w:t>
            </w:r>
            <w:r w:rsidRPr="002431AE">
              <w:rPr>
                <w:b/>
                <w:color w:val="808080"/>
                <w:spacing w:val="74"/>
                <w:w w:val="150"/>
                <w:sz w:val="19"/>
                <w:lang w:val="es-MX"/>
              </w:rPr>
              <w:t xml:space="preserve"> </w:t>
            </w:r>
            <w:r w:rsidRPr="0088650C">
              <w:rPr>
                <w:b/>
                <w:color w:val="808080"/>
                <w:w w:val="105"/>
                <w:sz w:val="19"/>
                <w:lang w:val="es-ES"/>
              </w:rPr>
              <w:t>Programa de ayuda financiera/descuento benéfico o atención caritativa parcial</w:t>
            </w:r>
          </w:p>
        </w:tc>
      </w:tr>
    </w:tbl>
    <w:p w14:paraId="337AC76C" w14:textId="400E0074" w:rsidR="004E0157" w:rsidRPr="001A1054" w:rsidRDefault="001A1054" w:rsidP="004D7E2C">
      <w:pPr>
        <w:pStyle w:val="ListParagraph"/>
        <w:numPr>
          <w:ilvl w:val="0"/>
          <w:numId w:val="6"/>
        </w:numPr>
        <w:tabs>
          <w:tab w:val="left" w:pos="497"/>
        </w:tabs>
        <w:spacing w:before="213" w:after="1" w:line="249" w:lineRule="auto"/>
        <w:ind w:left="497" w:right="350" w:hanging="352"/>
        <w:rPr>
          <w:sz w:val="20"/>
          <w:lang w:val="es-MX"/>
        </w:rPr>
      </w:pPr>
      <w:r w:rsidRPr="001A1054">
        <w:rPr>
          <w:color w:val="7C7C7C"/>
          <w:w w:val="105"/>
          <w:sz w:val="23"/>
          <w:lang w:val="es-MX"/>
        </w:rPr>
        <w:t>Un paciente puede calificar para ser elegible para atención caritativa o parcial antes de la admisión, después de la admisión, después del alta o durante el curso del proceso de asistencia financiera. Se hará todo lo posible para identificar todas las fuentes de financiación disponibles antes o en el momento de la visita. Si no se puede identificar una fuente de financiamiento después del cumplimiento total por parte del paciente o garante, se puede brindar atención caritativa o atención caritativa parcial. El paciente, un familiar, un proveedor o un representante de atención médica pueden iniciar una solicitud de atención caritativa o atención caritativa parcial al completar una Solicitud de evaluación de asistencia financiera. Todas las solicitudes de asistencia financiera se considerarán elegibles al recibir la información financiera solicitada.</w:t>
      </w:r>
    </w:p>
    <w:p w14:paraId="35C7FD4A" w14:textId="1739E4F3" w:rsidR="005053F5" w:rsidRPr="001A1054" w:rsidRDefault="005053F5">
      <w:pPr>
        <w:pStyle w:val="BodyText"/>
        <w:spacing w:before="213" w:after="1"/>
        <w:rPr>
          <w:sz w:val="20"/>
          <w:lang w:val="es-MX"/>
        </w:rPr>
      </w:pPr>
    </w:p>
    <w:p w14:paraId="6586F84F" w14:textId="0F0B6E9A" w:rsidR="005053F5" w:rsidRDefault="001A1054">
      <w:pPr>
        <w:pStyle w:val="Heading1"/>
        <w:tabs>
          <w:tab w:val="left" w:pos="3503"/>
        </w:tabs>
        <w:spacing w:before="5"/>
        <w:ind w:left="128"/>
        <w:rPr>
          <w:b w:val="0"/>
        </w:rPr>
      </w:pPr>
      <w:proofErr w:type="spellStart"/>
      <w:r w:rsidRPr="001A1054">
        <w:rPr>
          <w:color w:val="808080"/>
          <w:spacing w:val="-2"/>
          <w:w w:val="105"/>
        </w:rPr>
        <w:t>Proceso</w:t>
      </w:r>
      <w:proofErr w:type="spellEnd"/>
      <w:r w:rsidRPr="001A1054">
        <w:rPr>
          <w:color w:val="808080"/>
          <w:spacing w:val="-2"/>
          <w:w w:val="105"/>
        </w:rPr>
        <w:t xml:space="preserve"> de </w:t>
      </w:r>
      <w:proofErr w:type="spellStart"/>
      <w:r w:rsidRPr="001A1054">
        <w:rPr>
          <w:color w:val="808080"/>
          <w:spacing w:val="-2"/>
          <w:w w:val="105"/>
        </w:rPr>
        <w:t>revisión</w:t>
      </w:r>
      <w:proofErr w:type="spellEnd"/>
      <w:r w:rsidRPr="001A1054">
        <w:rPr>
          <w:color w:val="808080"/>
          <w:spacing w:val="-2"/>
          <w:w w:val="105"/>
        </w:rPr>
        <w:t xml:space="preserve"> </w:t>
      </w:r>
      <w:proofErr w:type="spellStart"/>
      <w:r w:rsidRPr="001A1054">
        <w:rPr>
          <w:color w:val="808080"/>
          <w:spacing w:val="-2"/>
          <w:w w:val="105"/>
        </w:rPr>
        <w:t>administrativa</w:t>
      </w:r>
      <w:proofErr w:type="spellEnd"/>
      <w:r w:rsidR="006C6DDC">
        <w:rPr>
          <w:color w:val="808080"/>
        </w:rPr>
        <w:tab/>
      </w:r>
      <w:r w:rsidR="006C6DDC">
        <w:rPr>
          <w:b w:val="0"/>
          <w:color w:val="B5B5B5"/>
          <w:spacing w:val="-10"/>
          <w:w w:val="105"/>
        </w:rPr>
        <w:t>·</w:t>
      </w:r>
    </w:p>
    <w:p w14:paraId="7FCC09D4" w14:textId="77777777" w:rsidR="001A1054" w:rsidRDefault="001A1054" w:rsidP="001A1054">
      <w:pPr>
        <w:pStyle w:val="ListParagraph"/>
        <w:numPr>
          <w:ilvl w:val="0"/>
          <w:numId w:val="5"/>
        </w:numPr>
        <w:tabs>
          <w:tab w:val="left" w:pos="480"/>
          <w:tab w:val="left" w:pos="487"/>
        </w:tabs>
        <w:spacing w:before="31" w:line="194" w:lineRule="auto"/>
        <w:ind w:right="546" w:hanging="369"/>
        <w:rPr>
          <w:color w:val="707070"/>
          <w:w w:val="105"/>
          <w:sz w:val="23"/>
          <w:lang w:val="es-ES"/>
        </w:rPr>
      </w:pPr>
      <w:r w:rsidRPr="001A1054">
        <w:rPr>
          <w:color w:val="707070"/>
          <w:w w:val="105"/>
          <w:sz w:val="23"/>
          <w:lang w:val="es-ES"/>
        </w:rPr>
        <w:t>CIH reconoce que el estado financiero de los pacientes puede cambiar con el tiempo. En consecuencia, el personal de Servicios Financieros para Pacientes ayudará a las familias a asegurar la elegibilidad para los programas gubernamentales disponibles</w:t>
      </w:r>
      <w:r>
        <w:rPr>
          <w:color w:val="707070"/>
          <w:w w:val="105"/>
          <w:sz w:val="23"/>
          <w:lang w:val="es-ES"/>
        </w:rPr>
        <w:t xml:space="preserve"> </w:t>
      </w:r>
      <w:r w:rsidRPr="001A1054">
        <w:rPr>
          <w:color w:val="707070"/>
          <w:w w:val="105"/>
          <w:sz w:val="23"/>
          <w:lang w:val="es-ES"/>
        </w:rPr>
        <w:t>con la cooperación de los pacientes y sus garantes. Comuníquese con el Departamento de Servicios Financieros para Pacientes durante el horario comercial de lunes a viernes, de 8:00 a. m. a 4:30 p. m., y programe una cita para analizar los programas gubernamentales disponibles y la asistencia para completar los formularios necesarios.</w:t>
      </w:r>
    </w:p>
    <w:p w14:paraId="56377E68" w14:textId="434179D7" w:rsidR="005053F5" w:rsidRPr="001A1054" w:rsidRDefault="001A1054" w:rsidP="00F86FFA">
      <w:pPr>
        <w:pStyle w:val="ListParagraph"/>
        <w:numPr>
          <w:ilvl w:val="0"/>
          <w:numId w:val="5"/>
        </w:numPr>
        <w:tabs>
          <w:tab w:val="left" w:pos="480"/>
          <w:tab w:val="left" w:pos="487"/>
        </w:tabs>
        <w:spacing w:before="19" w:line="252" w:lineRule="auto"/>
        <w:ind w:left="475" w:right="447" w:hanging="3"/>
        <w:rPr>
          <w:lang w:val="es-MX"/>
        </w:rPr>
      </w:pPr>
      <w:r w:rsidRPr="001A1054">
        <w:rPr>
          <w:color w:val="707070"/>
          <w:w w:val="105"/>
          <w:lang w:val="es-MX"/>
        </w:rPr>
        <w:t>La concesión de atención caritativa o atención caritativa parcial se basará en una determinación individualizada de la necesidad financiera y no tendrá en cuenta la edad, el género, la raza, el origen étnico, el nivel socioeconómico o el estatus de inmigración, orientación sexual, habilidades o afiliación religiosa. Los factores para determinar la necesidad financiera pueden incluir, entre otros, los ingresos familiares, el tamaño de la familia, el alcance y la magnitud de las facturas médicas de un paciente y la situación laboral.</w:t>
      </w:r>
    </w:p>
    <w:p w14:paraId="5BC3E151" w14:textId="195AA20D" w:rsidR="005053F5" w:rsidRPr="00556E63" w:rsidRDefault="00556E63" w:rsidP="00556E63">
      <w:pPr>
        <w:pStyle w:val="ListParagraph"/>
        <w:numPr>
          <w:ilvl w:val="0"/>
          <w:numId w:val="5"/>
        </w:numPr>
        <w:tabs>
          <w:tab w:val="left" w:pos="477"/>
          <w:tab w:val="left" w:pos="481"/>
        </w:tabs>
        <w:spacing w:before="6" w:line="201" w:lineRule="auto"/>
        <w:ind w:right="449"/>
        <w:rPr>
          <w:color w:val="808080"/>
          <w:w w:val="105"/>
          <w:sz w:val="23"/>
          <w:lang w:val="es-MX"/>
        </w:rPr>
      </w:pPr>
      <w:r w:rsidRPr="00556E63">
        <w:rPr>
          <w:color w:val="808080"/>
          <w:w w:val="105"/>
          <w:sz w:val="23"/>
          <w:lang w:val="es-MX"/>
        </w:rPr>
        <w:t>La Solicitud de Evaluación de Asistencia Financiera se completará oportunamente y la copia firmada se devolverá al Departamento de Servicios Financieros para Pacientes dentro de las tres (3) semanas posteriores a la recepción de la solicitud. Es más, un</w:t>
      </w:r>
      <w:r>
        <w:rPr>
          <w:color w:val="808080"/>
          <w:w w:val="105"/>
          <w:sz w:val="23"/>
          <w:lang w:val="es-MX"/>
        </w:rPr>
        <w:t xml:space="preserve"> </w:t>
      </w:r>
      <w:r w:rsidRPr="00556E63">
        <w:rPr>
          <w:color w:val="808080"/>
          <w:w w:val="105"/>
          <w:sz w:val="23"/>
          <w:lang w:val="es-MX"/>
        </w:rPr>
        <w:t>empleado del Departamento de Servicios Financieros para Pacientes estará disponible para ayudar a completar la Solicitud de Evaluación de Asistencia Financiera por teléfono o mediante cita en el Departamento de Servicios Financieros para Pacientes durante el horario comercial de lunes a viernes, de 8:00 a. m. a 4:30 p. m.</w:t>
      </w:r>
    </w:p>
    <w:p w14:paraId="328A69E7" w14:textId="4AAC1901" w:rsidR="005053F5" w:rsidRPr="00556E63" w:rsidRDefault="00556E63" w:rsidP="00F64741">
      <w:pPr>
        <w:pStyle w:val="ListParagraph"/>
        <w:numPr>
          <w:ilvl w:val="0"/>
          <w:numId w:val="5"/>
        </w:numPr>
        <w:tabs>
          <w:tab w:val="left" w:pos="477"/>
          <w:tab w:val="left" w:pos="485"/>
        </w:tabs>
        <w:spacing w:before="28" w:line="196" w:lineRule="auto"/>
        <w:ind w:right="495"/>
        <w:rPr>
          <w:lang w:val="es-MX"/>
        </w:rPr>
      </w:pPr>
      <w:r w:rsidRPr="00556E63">
        <w:rPr>
          <w:color w:val="808080"/>
          <w:w w:val="105"/>
          <w:sz w:val="23"/>
          <w:lang w:val="es-MX"/>
        </w:rPr>
        <w:t xml:space="preserve">La Solicitud de Evaluación de Asistencia Financiera seguirá siendo válida para los servicios prestados dentro de un período de 180 días. La Solicitud de Evaluación de Asistencia Financiera puede actualizarse en cualquier momento durante o después </w:t>
      </w:r>
      <w:r>
        <w:rPr>
          <w:color w:val="808080"/>
          <w:w w:val="105"/>
          <w:sz w:val="23"/>
          <w:lang w:val="es-MX"/>
        </w:rPr>
        <w:t>se v</w:t>
      </w:r>
      <w:r w:rsidRPr="00556E63">
        <w:rPr>
          <w:color w:val="808080"/>
          <w:w w:val="105"/>
          <w:sz w:val="23"/>
          <w:lang w:val="es-MX"/>
        </w:rPr>
        <w:t>ence el período de 180 días. La Evaluación Financiera incluirá una revisión de los ingresos brutos de la familia, el número de miembros de la familia, la situación laboral y los saldos pendientes de las facturas médicas. Se deberán presentar copias de la declaración de impuestos del año anterior y los talones de pago del (1) mes más reciente junto con la Solicitud de evaluación de asistencia financiera completa.</w:t>
      </w:r>
    </w:p>
    <w:p w14:paraId="030D816A" w14:textId="77777777" w:rsidR="005053F5" w:rsidRPr="00556E63" w:rsidRDefault="005053F5">
      <w:pPr>
        <w:pStyle w:val="BodyText"/>
        <w:spacing w:before="17"/>
        <w:rPr>
          <w:lang w:val="es-MX"/>
        </w:rPr>
      </w:pPr>
    </w:p>
    <w:p w14:paraId="382A5F5A" w14:textId="7D209433" w:rsidR="005053F5" w:rsidRPr="00556E63" w:rsidRDefault="00556E63">
      <w:pPr>
        <w:pStyle w:val="Heading1"/>
        <w:ind w:left="125"/>
        <w:jc w:val="both"/>
        <w:rPr>
          <w:lang w:val="es-MX"/>
        </w:rPr>
      </w:pPr>
      <w:r w:rsidRPr="00556E63">
        <w:rPr>
          <w:color w:val="808080"/>
          <w:w w:val="105"/>
          <w:lang w:val="es-MX"/>
        </w:rPr>
        <w:t>Beneficios para pacientes financieramente elegibles Cantidad del beneficio de atención benéfica</w:t>
      </w:r>
    </w:p>
    <w:p w14:paraId="4C98E11B" w14:textId="737E394A" w:rsidR="005053F5" w:rsidRPr="00556E63" w:rsidRDefault="006C6DDC">
      <w:pPr>
        <w:pStyle w:val="ListParagraph"/>
        <w:numPr>
          <w:ilvl w:val="0"/>
          <w:numId w:val="5"/>
        </w:numPr>
        <w:tabs>
          <w:tab w:val="left" w:pos="483"/>
          <w:tab w:val="left" w:pos="488"/>
        </w:tabs>
        <w:spacing w:before="31" w:line="252" w:lineRule="auto"/>
        <w:ind w:left="483" w:right="339" w:hanging="359"/>
        <w:jc w:val="both"/>
        <w:rPr>
          <w:color w:val="808080"/>
          <w:sz w:val="23"/>
          <w:lang w:val="es-MX"/>
        </w:rPr>
      </w:pPr>
      <w:r w:rsidRPr="00556E63">
        <w:rPr>
          <w:color w:val="808080"/>
          <w:sz w:val="23"/>
          <w:lang w:val="es-MX"/>
        </w:rPr>
        <w:tab/>
      </w:r>
      <w:r w:rsidR="00556E63" w:rsidRPr="00556E63">
        <w:rPr>
          <w:color w:val="808080"/>
          <w:w w:val="105"/>
          <w:sz w:val="23"/>
          <w:lang w:val="es-MX"/>
        </w:rPr>
        <w:t>Los solicitantes que califiquen con ingresos del 200 % o menos del valor unitario establecido por las pautas de FPL del Departamento de Salud y Servicios Humanos (HHS) revisadas anualmente y publicadas en el Registro Federal recibirán el beneficio de atención caritativa de la siguiente manera:</w:t>
      </w:r>
    </w:p>
    <w:p w14:paraId="20009862" w14:textId="6D9E1C60" w:rsidR="005053F5" w:rsidRPr="00556E63" w:rsidRDefault="006C6DDC">
      <w:pPr>
        <w:pStyle w:val="BodyText"/>
        <w:spacing w:line="261" w:lineRule="exact"/>
        <w:ind w:left="520"/>
        <w:jc w:val="both"/>
        <w:rPr>
          <w:lang w:val="es-MX"/>
        </w:rPr>
      </w:pPr>
      <w:r>
        <w:rPr>
          <w:color w:val="707070"/>
          <w:w w:val="105"/>
        </w:rPr>
        <w:t>l.</w:t>
      </w:r>
      <w:r>
        <w:rPr>
          <w:color w:val="707070"/>
          <w:spacing w:val="31"/>
          <w:w w:val="105"/>
        </w:rPr>
        <w:t xml:space="preserve">  </w:t>
      </w:r>
      <w:r w:rsidR="00556E63" w:rsidRPr="00556E63">
        <w:rPr>
          <w:color w:val="707070"/>
          <w:w w:val="105"/>
          <w:lang w:val="es-MX"/>
        </w:rPr>
        <w:t>A los ingresos del 200 % o menos del FPL se les otorgará atención caritativa completa (100 %) (atención gratuita) durante un período de 12 meses.</w:t>
      </w:r>
    </w:p>
    <w:p w14:paraId="51E2BDB2" w14:textId="1D43219A" w:rsidR="005053F5" w:rsidRPr="00556E63" w:rsidRDefault="006C6DDC">
      <w:pPr>
        <w:pStyle w:val="ListParagraph"/>
        <w:numPr>
          <w:ilvl w:val="0"/>
          <w:numId w:val="5"/>
        </w:numPr>
        <w:tabs>
          <w:tab w:val="left" w:pos="480"/>
          <w:tab w:val="left" w:pos="482"/>
        </w:tabs>
        <w:spacing w:before="39" w:line="249" w:lineRule="auto"/>
        <w:ind w:left="480" w:right="544" w:hanging="356"/>
        <w:rPr>
          <w:color w:val="808080"/>
          <w:sz w:val="23"/>
          <w:lang w:val="es-MX"/>
        </w:rPr>
      </w:pPr>
      <w:r w:rsidRPr="00556E63">
        <w:rPr>
          <w:color w:val="808080"/>
          <w:sz w:val="23"/>
          <w:lang w:val="es-MX"/>
        </w:rPr>
        <w:tab/>
      </w:r>
      <w:r w:rsidR="00556E63" w:rsidRPr="00556E63">
        <w:rPr>
          <w:color w:val="808080"/>
          <w:w w:val="105"/>
          <w:sz w:val="23"/>
          <w:lang w:val="es-MX"/>
        </w:rPr>
        <w:t xml:space="preserve">Los solicitantes que no tengan hogar y cuyo ingreso calificado </w:t>
      </w:r>
      <w:proofErr w:type="gramStart"/>
      <w:r w:rsidR="00556E63" w:rsidRPr="00556E63">
        <w:rPr>
          <w:color w:val="808080"/>
          <w:w w:val="105"/>
          <w:sz w:val="23"/>
          <w:lang w:val="es-MX"/>
        </w:rPr>
        <w:t>sea</w:t>
      </w:r>
      <w:proofErr w:type="gramEnd"/>
      <w:r w:rsidR="00556E63" w:rsidRPr="00556E63">
        <w:rPr>
          <w:color w:val="808080"/>
          <w:w w:val="105"/>
          <w:sz w:val="23"/>
          <w:lang w:val="es-MX"/>
        </w:rPr>
        <w:t xml:space="preserve"> igual o superior al 201 % e igual o inferior al 400 % menos del valor unitario establecido por las Directrices FPL del HHS revisadas anualmente y publicadas en el Registro Federal recibirán el beneficio de atención caritativa. como sigue:</w:t>
      </w:r>
    </w:p>
    <w:p w14:paraId="02942431" w14:textId="1850A702" w:rsidR="005053F5" w:rsidRPr="00556E63" w:rsidRDefault="006C6DDC">
      <w:pPr>
        <w:pStyle w:val="ListParagraph"/>
        <w:numPr>
          <w:ilvl w:val="1"/>
          <w:numId w:val="5"/>
        </w:numPr>
        <w:tabs>
          <w:tab w:val="left" w:pos="844"/>
          <w:tab w:val="left" w:pos="859"/>
        </w:tabs>
        <w:spacing w:before="4" w:line="249" w:lineRule="auto"/>
        <w:ind w:left="844" w:right="902" w:hanging="358"/>
        <w:rPr>
          <w:color w:val="808080"/>
          <w:sz w:val="23"/>
          <w:lang w:val="es-MX"/>
        </w:rPr>
      </w:pPr>
      <w:r w:rsidRPr="00556E63">
        <w:rPr>
          <w:color w:val="808080"/>
          <w:sz w:val="23"/>
          <w:lang w:val="es-MX"/>
        </w:rPr>
        <w:tab/>
      </w:r>
      <w:r w:rsidR="00556E63" w:rsidRPr="00556E63">
        <w:rPr>
          <w:color w:val="707070"/>
          <w:w w:val="105"/>
          <w:sz w:val="23"/>
          <w:lang w:val="es-MX"/>
        </w:rPr>
        <w:t>Ingresos del 201% al 400% o menos del FPL que no tengan hogar recibirán atención caritativa total (100%) (atención gratuita).</w:t>
      </w:r>
    </w:p>
    <w:p w14:paraId="083D2D11" w14:textId="6D59EF75" w:rsidR="005053F5" w:rsidRPr="00556E63" w:rsidRDefault="00556E63">
      <w:pPr>
        <w:pStyle w:val="BodyText"/>
        <w:spacing w:before="22"/>
        <w:rPr>
          <w:lang w:val="es-MX"/>
        </w:rPr>
      </w:pPr>
      <w:r>
        <w:rPr>
          <w:noProof/>
          <w:color w:val="AAAAAA"/>
          <w:spacing w:val="-16"/>
          <w:w w:val="64"/>
          <w:sz w:val="24"/>
        </w:rPr>
        <w:lastRenderedPageBreak/>
        <w:drawing>
          <wp:anchor distT="0" distB="0" distL="114300" distR="114300" simplePos="0" relativeHeight="487353856" behindDoc="1" locked="0" layoutInCell="1" allowOverlap="1" wp14:anchorId="35DA0D81" wp14:editId="30337F99">
            <wp:simplePos x="0" y="0"/>
            <wp:positionH relativeFrom="margin">
              <wp:posOffset>1606550</wp:posOffset>
            </wp:positionH>
            <wp:positionV relativeFrom="paragraph">
              <wp:posOffset>-331718</wp:posOffset>
            </wp:positionV>
            <wp:extent cx="3921125" cy="816610"/>
            <wp:effectExtent l="0" t="0" r="3175" b="2540"/>
            <wp:wrapNone/>
            <wp:docPr id="132053945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9227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1125" cy="816610"/>
                    </a:xfrm>
                    <a:prstGeom prst="rect">
                      <a:avLst/>
                    </a:prstGeom>
                  </pic:spPr>
                </pic:pic>
              </a:graphicData>
            </a:graphic>
            <wp14:sizeRelH relativeFrom="margin">
              <wp14:pctWidth>0</wp14:pctWidth>
            </wp14:sizeRelH>
            <wp14:sizeRelV relativeFrom="margin">
              <wp14:pctHeight>0</wp14:pctHeight>
            </wp14:sizeRelV>
          </wp:anchor>
        </w:drawing>
      </w:r>
    </w:p>
    <w:p w14:paraId="0A885728" w14:textId="4B2E8769" w:rsidR="00556E63" w:rsidRPr="00556E63" w:rsidRDefault="00556E63" w:rsidP="00556E63">
      <w:pPr>
        <w:pStyle w:val="Heading1"/>
        <w:spacing w:line="249" w:lineRule="auto"/>
        <w:ind w:left="125" w:right="6893" w:firstLine="13"/>
        <w:rPr>
          <w:color w:val="808080"/>
          <w:w w:val="105"/>
        </w:rPr>
      </w:pPr>
    </w:p>
    <w:tbl>
      <w:tblPr>
        <w:tblpPr w:leftFromText="180" w:rightFromText="180" w:vertAnchor="text" w:horzAnchor="margin" w:tblpY="193"/>
        <w:tblW w:w="109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90"/>
        <w:gridCol w:w="5475"/>
        <w:gridCol w:w="15"/>
      </w:tblGrid>
      <w:tr w:rsidR="00556E63" w14:paraId="54A1B4AC" w14:textId="77777777" w:rsidTr="00556E63">
        <w:trPr>
          <w:trHeight w:val="604"/>
        </w:trPr>
        <w:tc>
          <w:tcPr>
            <w:tcW w:w="5490" w:type="dxa"/>
          </w:tcPr>
          <w:p w14:paraId="5F757A81" w14:textId="7B54BBB4" w:rsidR="00556E63" w:rsidRPr="00556E63" w:rsidRDefault="00556E63" w:rsidP="00556E63">
            <w:pPr>
              <w:pStyle w:val="TableParagraph"/>
              <w:spacing w:before="16"/>
              <w:ind w:left="126"/>
              <w:rPr>
                <w:b/>
                <w:color w:val="777777"/>
                <w:w w:val="105"/>
                <w:sz w:val="19"/>
                <w:lang w:val="es-MX"/>
              </w:rPr>
            </w:pPr>
            <w:r w:rsidRPr="002431AE">
              <w:rPr>
                <w:b/>
                <w:color w:val="808080"/>
                <w:w w:val="105"/>
                <w:sz w:val="19"/>
                <w:lang w:val="es-MX"/>
              </w:rPr>
              <w:t>DEPARTAMENTO:</w:t>
            </w:r>
            <w:r w:rsidRPr="002431AE">
              <w:rPr>
                <w:b/>
                <w:color w:val="808080"/>
                <w:spacing w:val="3"/>
                <w:w w:val="105"/>
                <w:sz w:val="19"/>
                <w:lang w:val="es-MX"/>
              </w:rPr>
              <w:t xml:space="preserve"> </w:t>
            </w:r>
            <w:r w:rsidRPr="0088650C">
              <w:rPr>
                <w:b/>
                <w:color w:val="808080"/>
                <w:w w:val="105"/>
                <w:sz w:val="19"/>
                <w:lang w:val="es-ES"/>
              </w:rPr>
              <w:t xml:space="preserve">Servicios </w:t>
            </w:r>
            <w:r>
              <w:rPr>
                <w:b/>
                <w:color w:val="808080"/>
                <w:w w:val="105"/>
                <w:sz w:val="19"/>
                <w:lang w:val="es-ES"/>
              </w:rPr>
              <w:t>F</w:t>
            </w:r>
            <w:r w:rsidRPr="0088650C">
              <w:rPr>
                <w:b/>
                <w:color w:val="808080"/>
                <w:w w:val="105"/>
                <w:sz w:val="19"/>
                <w:lang w:val="es-ES"/>
              </w:rPr>
              <w:t xml:space="preserve">inancieros </w:t>
            </w:r>
            <w:r>
              <w:rPr>
                <w:b/>
                <w:color w:val="808080"/>
                <w:w w:val="105"/>
                <w:sz w:val="19"/>
                <w:lang w:val="es-ES"/>
              </w:rPr>
              <w:t>P</w:t>
            </w:r>
            <w:r w:rsidRPr="0088650C">
              <w:rPr>
                <w:b/>
                <w:color w:val="808080"/>
                <w:w w:val="105"/>
                <w:sz w:val="19"/>
                <w:lang w:val="es-ES"/>
              </w:rPr>
              <w:t xml:space="preserve">ara </w:t>
            </w:r>
            <w:r>
              <w:rPr>
                <w:b/>
                <w:color w:val="808080"/>
                <w:w w:val="105"/>
                <w:sz w:val="19"/>
                <w:lang w:val="es-ES"/>
              </w:rPr>
              <w:t>P</w:t>
            </w:r>
            <w:r w:rsidRPr="0088650C">
              <w:rPr>
                <w:b/>
                <w:color w:val="808080"/>
                <w:w w:val="105"/>
                <w:sz w:val="19"/>
                <w:lang w:val="es-ES"/>
              </w:rPr>
              <w:t>acientes</w:t>
            </w:r>
          </w:p>
        </w:tc>
        <w:tc>
          <w:tcPr>
            <w:tcW w:w="5490" w:type="dxa"/>
            <w:gridSpan w:val="2"/>
          </w:tcPr>
          <w:p w14:paraId="38E9826D" w14:textId="7CB1D58F" w:rsidR="00556E63" w:rsidRDefault="00556E63" w:rsidP="00556E63">
            <w:pPr>
              <w:pStyle w:val="TableParagraph"/>
              <w:spacing w:before="16"/>
              <w:ind w:left="126"/>
              <w:rPr>
                <w:b/>
                <w:color w:val="777777"/>
                <w:w w:val="105"/>
                <w:sz w:val="19"/>
              </w:rPr>
            </w:pPr>
            <w:r>
              <w:rPr>
                <w:b/>
                <w:color w:val="808080"/>
                <w:w w:val="105"/>
                <w:sz w:val="19"/>
              </w:rPr>
              <w:t>CATEGORÍA:</w:t>
            </w:r>
            <w:r>
              <w:rPr>
                <w:b/>
                <w:color w:val="808080"/>
                <w:spacing w:val="1"/>
                <w:w w:val="105"/>
                <w:sz w:val="19"/>
              </w:rPr>
              <w:t xml:space="preserve"> </w:t>
            </w:r>
            <w:proofErr w:type="spellStart"/>
            <w:r>
              <w:rPr>
                <w:b/>
                <w:color w:val="808080"/>
                <w:spacing w:val="-2"/>
                <w:w w:val="105"/>
                <w:sz w:val="19"/>
              </w:rPr>
              <w:t>Políticas</w:t>
            </w:r>
            <w:proofErr w:type="spellEnd"/>
          </w:p>
        </w:tc>
      </w:tr>
      <w:tr w:rsidR="00556E63" w:rsidRPr="00556E63" w14:paraId="575C5790" w14:textId="77777777" w:rsidTr="00556E63">
        <w:trPr>
          <w:gridAfter w:val="1"/>
          <w:wAfter w:w="15" w:type="dxa"/>
          <w:trHeight w:val="604"/>
        </w:trPr>
        <w:tc>
          <w:tcPr>
            <w:tcW w:w="10965" w:type="dxa"/>
            <w:gridSpan w:val="2"/>
          </w:tcPr>
          <w:p w14:paraId="5BCF01B0" w14:textId="4D5AC1D0" w:rsidR="00556E63" w:rsidRPr="00556E63" w:rsidRDefault="00556E63" w:rsidP="00556E63">
            <w:pPr>
              <w:pStyle w:val="TableParagraph"/>
              <w:spacing w:before="9"/>
              <w:ind w:left="119"/>
              <w:rPr>
                <w:b/>
                <w:color w:val="777777"/>
                <w:w w:val="105"/>
                <w:sz w:val="19"/>
                <w:lang w:val="es-MX"/>
              </w:rPr>
            </w:pPr>
            <w:r w:rsidRPr="002431AE">
              <w:rPr>
                <w:b/>
                <w:color w:val="808080"/>
                <w:w w:val="105"/>
                <w:sz w:val="19"/>
                <w:lang w:val="es-MX"/>
              </w:rPr>
              <w:t>SUJETO:</w:t>
            </w:r>
            <w:r w:rsidRPr="002431AE">
              <w:rPr>
                <w:b/>
                <w:color w:val="808080"/>
                <w:spacing w:val="74"/>
                <w:w w:val="150"/>
                <w:sz w:val="19"/>
                <w:lang w:val="es-MX"/>
              </w:rPr>
              <w:t xml:space="preserve"> </w:t>
            </w:r>
            <w:r w:rsidRPr="0088650C">
              <w:rPr>
                <w:b/>
                <w:color w:val="808080"/>
                <w:w w:val="105"/>
                <w:sz w:val="19"/>
                <w:lang w:val="es-ES"/>
              </w:rPr>
              <w:t>Programa de ayuda financiera/descuento benéfico o atención caritativa parcial</w:t>
            </w:r>
          </w:p>
        </w:tc>
      </w:tr>
    </w:tbl>
    <w:p w14:paraId="4F622F04" w14:textId="15F09FC8" w:rsidR="00556E63" w:rsidRDefault="00556E63" w:rsidP="00556E63">
      <w:pPr>
        <w:pStyle w:val="Heading1"/>
        <w:spacing w:line="249" w:lineRule="auto"/>
        <w:ind w:left="125" w:right="6893" w:firstLine="13"/>
        <w:rPr>
          <w:color w:val="808080"/>
          <w:w w:val="105"/>
          <w:lang w:val="es-MX"/>
        </w:rPr>
      </w:pPr>
      <w:r w:rsidRPr="00556E63">
        <w:rPr>
          <w:color w:val="808080"/>
          <w:w w:val="105"/>
          <w:lang w:val="es-MX"/>
        </w:rPr>
        <w:t xml:space="preserve">Monto del beneficio de descuento parcial de caridad </w:t>
      </w:r>
    </w:p>
    <w:p w14:paraId="2DF6A0AC" w14:textId="28AAB656" w:rsidR="005053F5" w:rsidRPr="00556E63" w:rsidRDefault="00556E63" w:rsidP="00556E63">
      <w:pPr>
        <w:pStyle w:val="Heading1"/>
        <w:spacing w:line="249" w:lineRule="auto"/>
        <w:ind w:left="125" w:right="6893" w:firstLine="13"/>
        <w:rPr>
          <w:lang w:val="es-MX"/>
        </w:rPr>
      </w:pPr>
      <w:r w:rsidRPr="00556E63">
        <w:rPr>
          <w:color w:val="808080"/>
          <w:w w:val="105"/>
          <w:lang w:val="es-MX"/>
        </w:rPr>
        <w:t>Pacientes que pagan por cuenta propia</w:t>
      </w:r>
    </w:p>
    <w:p w14:paraId="697EB97E" w14:textId="2B03FF01" w:rsidR="005053F5" w:rsidRPr="00556E63" w:rsidRDefault="00556E63">
      <w:pPr>
        <w:pStyle w:val="ListParagraph"/>
        <w:numPr>
          <w:ilvl w:val="0"/>
          <w:numId w:val="5"/>
        </w:numPr>
        <w:tabs>
          <w:tab w:val="left" w:pos="496"/>
        </w:tabs>
        <w:spacing w:before="27"/>
        <w:ind w:left="496" w:hanging="364"/>
        <w:rPr>
          <w:color w:val="808080"/>
          <w:sz w:val="23"/>
          <w:lang w:val="es-MX"/>
        </w:rPr>
      </w:pPr>
      <w:r w:rsidRPr="00556E63">
        <w:rPr>
          <w:color w:val="808080"/>
          <w:w w:val="105"/>
          <w:sz w:val="23"/>
          <w:lang w:val="es-MX"/>
        </w:rPr>
        <w:t>Los ingresos de los solicitantes que califican son del 201% pero no superiores al 400%, el beneficio FPL es el siguiente:</w:t>
      </w:r>
    </w:p>
    <w:p w14:paraId="3D9F119E" w14:textId="2EF369F7" w:rsidR="005053F5" w:rsidRPr="00556E63" w:rsidRDefault="006C6DDC">
      <w:pPr>
        <w:pStyle w:val="BodyText"/>
        <w:tabs>
          <w:tab w:val="left" w:pos="860"/>
        </w:tabs>
        <w:spacing w:before="10"/>
        <w:ind w:left="506"/>
        <w:rPr>
          <w:lang w:val="es-MX"/>
        </w:rPr>
      </w:pPr>
      <w:r w:rsidRPr="00556E63">
        <w:rPr>
          <w:color w:val="707070"/>
          <w:spacing w:val="-5"/>
          <w:w w:val="105"/>
          <w:sz w:val="22"/>
          <w:lang w:val="es-MX"/>
        </w:rPr>
        <w:t>l.</w:t>
      </w:r>
      <w:r w:rsidRPr="00556E63">
        <w:rPr>
          <w:color w:val="707070"/>
          <w:sz w:val="22"/>
          <w:lang w:val="es-MX"/>
        </w:rPr>
        <w:tab/>
      </w:r>
      <w:r w:rsidR="00556E63" w:rsidRPr="00556E63">
        <w:rPr>
          <w:color w:val="808080"/>
          <w:w w:val="105"/>
          <w:lang w:val="es-MX"/>
        </w:rPr>
        <w:t xml:space="preserve">Ingresos 201%-300% de las pautas del FPL descontados a la cantidad permitida de </w:t>
      </w:r>
      <w:proofErr w:type="spellStart"/>
      <w:r w:rsidR="00556E63" w:rsidRPr="00556E63">
        <w:rPr>
          <w:color w:val="808080"/>
          <w:w w:val="105"/>
          <w:lang w:val="es-MX"/>
        </w:rPr>
        <w:t>Medi</w:t>
      </w:r>
      <w:proofErr w:type="spellEnd"/>
      <w:r w:rsidR="00556E63" w:rsidRPr="00556E63">
        <w:rPr>
          <w:color w:val="808080"/>
          <w:w w:val="105"/>
          <w:lang w:val="es-MX"/>
        </w:rPr>
        <w:t>-Cal.</w:t>
      </w:r>
    </w:p>
    <w:p w14:paraId="1A73BFB4" w14:textId="62EB06AB" w:rsidR="005053F5" w:rsidRPr="00556E63" w:rsidRDefault="00556E63">
      <w:pPr>
        <w:pStyle w:val="ListParagraph"/>
        <w:numPr>
          <w:ilvl w:val="0"/>
          <w:numId w:val="4"/>
        </w:numPr>
        <w:tabs>
          <w:tab w:val="left" w:pos="852"/>
        </w:tabs>
        <w:ind w:left="852" w:hanging="359"/>
        <w:rPr>
          <w:color w:val="939393"/>
          <w:sz w:val="23"/>
          <w:lang w:val="es-MX"/>
        </w:rPr>
      </w:pPr>
      <w:r w:rsidRPr="00556E63">
        <w:rPr>
          <w:color w:val="808080"/>
          <w:w w:val="105"/>
          <w:sz w:val="23"/>
          <w:lang w:val="es-MX"/>
        </w:rPr>
        <w:t>Ingresos del 301 % al 400 % de las pautas del FPL descontados al 75 % de la responsabilidad de pago por cuenta propia.</w:t>
      </w:r>
    </w:p>
    <w:p w14:paraId="658E260B" w14:textId="3BEA2936" w:rsidR="005053F5" w:rsidRPr="00556E63" w:rsidRDefault="00556E63">
      <w:pPr>
        <w:pStyle w:val="ListParagraph"/>
        <w:numPr>
          <w:ilvl w:val="0"/>
          <w:numId w:val="4"/>
        </w:numPr>
        <w:tabs>
          <w:tab w:val="left" w:pos="859"/>
        </w:tabs>
        <w:ind w:left="859" w:hanging="370"/>
        <w:rPr>
          <w:color w:val="A5A5A5"/>
          <w:sz w:val="23"/>
          <w:lang w:val="es-MX"/>
        </w:rPr>
      </w:pPr>
      <w:r w:rsidRPr="00556E63">
        <w:rPr>
          <w:color w:val="808080"/>
          <w:w w:val="105"/>
          <w:sz w:val="23"/>
          <w:lang w:val="es-MX"/>
        </w:rPr>
        <w:t>Ingresos &gt;400% de las pautas del FPL Responsabilidad de pago por cuenta propia.</w:t>
      </w:r>
    </w:p>
    <w:p w14:paraId="607C6580" w14:textId="77777777" w:rsidR="004E0157" w:rsidRPr="00556E63" w:rsidRDefault="004E0157">
      <w:pPr>
        <w:pStyle w:val="BodyText"/>
        <w:spacing w:before="81"/>
        <w:rPr>
          <w:sz w:val="20"/>
          <w:lang w:val="es-MX"/>
        </w:rPr>
      </w:pPr>
    </w:p>
    <w:p w14:paraId="4E2670B5" w14:textId="40912907" w:rsidR="005053F5" w:rsidRPr="00116D00" w:rsidRDefault="00116D00">
      <w:pPr>
        <w:pStyle w:val="Heading1"/>
        <w:spacing w:before="5"/>
        <w:ind w:left="118"/>
        <w:rPr>
          <w:lang w:val="es-MX"/>
        </w:rPr>
      </w:pPr>
      <w:r w:rsidRPr="00116D00">
        <w:rPr>
          <w:color w:val="777777"/>
          <w:w w:val="105"/>
          <w:lang w:val="es-MX"/>
        </w:rPr>
        <w:t>Pacientes con altos costos médicos</w:t>
      </w:r>
    </w:p>
    <w:p w14:paraId="33BEBE59" w14:textId="2A26D467" w:rsidR="005053F5" w:rsidRPr="00116D00" w:rsidRDefault="006C6DDC" w:rsidP="00116D00">
      <w:pPr>
        <w:pStyle w:val="ListParagraph"/>
        <w:numPr>
          <w:ilvl w:val="0"/>
          <w:numId w:val="5"/>
        </w:numPr>
        <w:tabs>
          <w:tab w:val="left" w:pos="526"/>
          <w:tab w:val="left" w:pos="532"/>
        </w:tabs>
        <w:spacing w:before="32" w:line="249" w:lineRule="auto"/>
        <w:ind w:left="526" w:right="507" w:hanging="416"/>
        <w:rPr>
          <w:color w:val="777777"/>
          <w:w w:val="105"/>
          <w:sz w:val="23"/>
          <w:lang w:val="es-MX"/>
        </w:rPr>
      </w:pPr>
      <w:r w:rsidRPr="00116D00">
        <w:rPr>
          <w:color w:val="777777"/>
          <w:sz w:val="23"/>
          <w:lang w:val="es-MX"/>
        </w:rPr>
        <w:tab/>
      </w:r>
      <w:r w:rsidR="00116D00" w:rsidRPr="00116D00">
        <w:rPr>
          <w:color w:val="777777"/>
          <w:w w:val="105"/>
          <w:sz w:val="23"/>
          <w:lang w:val="es-ES"/>
        </w:rPr>
        <w:t>Los ingresos que califican de los solicitantes son del 201 % pero no superiores al 400 % del FPL. Se considerará la elegibilidad para atención caritativa/atención parcial para aquellas personas que incurrieron en costos médicos altos durante los doce (12) meses anteriores. Los gastos médicos de bolsillo del paciente en los doce (12) meses anteriores (ya sea incurridos dentro o fuera de CIH) exceden el 10% del ingreso familiar y el paciente no recibe descuento como resultado del beneficio de cobertura de terceros es el siguiente:</w:t>
      </w:r>
    </w:p>
    <w:p w14:paraId="37993A11" w14:textId="5AA45F33" w:rsidR="005053F5" w:rsidRPr="00116D00" w:rsidRDefault="00116D00">
      <w:pPr>
        <w:pStyle w:val="ListParagraph"/>
        <w:numPr>
          <w:ilvl w:val="0"/>
          <w:numId w:val="3"/>
        </w:numPr>
        <w:tabs>
          <w:tab w:val="left" w:pos="831"/>
        </w:tabs>
        <w:spacing w:before="2"/>
        <w:ind w:left="831" w:hanging="331"/>
        <w:rPr>
          <w:sz w:val="23"/>
          <w:lang w:val="es-MX"/>
        </w:rPr>
      </w:pPr>
      <w:r w:rsidRPr="00116D00">
        <w:rPr>
          <w:color w:val="777777"/>
          <w:w w:val="105"/>
          <w:sz w:val="23"/>
          <w:lang w:val="es-MX"/>
        </w:rPr>
        <w:t xml:space="preserve">Ingresos 201%-300% de las pautas del FPL descontados a la cantidad permitida de </w:t>
      </w:r>
      <w:proofErr w:type="spellStart"/>
      <w:r w:rsidRPr="00116D00">
        <w:rPr>
          <w:color w:val="777777"/>
          <w:w w:val="105"/>
          <w:sz w:val="23"/>
          <w:lang w:val="es-MX"/>
        </w:rPr>
        <w:t>Medi</w:t>
      </w:r>
      <w:proofErr w:type="spellEnd"/>
      <w:r w:rsidRPr="00116D00">
        <w:rPr>
          <w:color w:val="777777"/>
          <w:w w:val="105"/>
          <w:sz w:val="23"/>
          <w:lang w:val="es-MX"/>
        </w:rPr>
        <w:t>-Cal.</w:t>
      </w:r>
    </w:p>
    <w:p w14:paraId="0C5580EF" w14:textId="79B61595" w:rsidR="005053F5" w:rsidRPr="00116D00" w:rsidRDefault="00116D00">
      <w:pPr>
        <w:pStyle w:val="ListParagraph"/>
        <w:numPr>
          <w:ilvl w:val="1"/>
          <w:numId w:val="3"/>
        </w:numPr>
        <w:tabs>
          <w:tab w:val="left" w:pos="1184"/>
          <w:tab w:val="left" w:pos="1190"/>
        </w:tabs>
        <w:spacing w:line="249" w:lineRule="auto"/>
        <w:ind w:right="567" w:hanging="361"/>
        <w:rPr>
          <w:sz w:val="23"/>
          <w:lang w:val="es-MX"/>
        </w:rPr>
      </w:pPr>
      <w:r w:rsidRPr="00116D00">
        <w:rPr>
          <w:color w:val="777777"/>
          <w:w w:val="105"/>
          <w:sz w:val="23"/>
          <w:lang w:val="es-MX"/>
        </w:rPr>
        <w:t xml:space="preserve">Si un paciente está asegurado, la responsabilidad del paciente se reduce a la diferencia entre el monto máximo del gobierno (cantidad permitida de </w:t>
      </w:r>
      <w:proofErr w:type="spellStart"/>
      <w:r w:rsidRPr="00116D00">
        <w:rPr>
          <w:color w:val="777777"/>
          <w:w w:val="105"/>
          <w:sz w:val="23"/>
          <w:lang w:val="es-MX"/>
        </w:rPr>
        <w:t>Medi</w:t>
      </w:r>
      <w:proofErr w:type="spellEnd"/>
      <w:r w:rsidRPr="00116D00">
        <w:rPr>
          <w:color w:val="777777"/>
          <w:w w:val="105"/>
          <w:sz w:val="23"/>
          <w:lang w:val="es-MX"/>
        </w:rPr>
        <w:t>-Cal) y el pago de la compañía de seguros.</w:t>
      </w:r>
    </w:p>
    <w:p w14:paraId="474013BC" w14:textId="78C80208" w:rsidR="005053F5" w:rsidRPr="00116D00" w:rsidRDefault="00116D00">
      <w:pPr>
        <w:pStyle w:val="ListParagraph"/>
        <w:numPr>
          <w:ilvl w:val="0"/>
          <w:numId w:val="2"/>
        </w:numPr>
        <w:tabs>
          <w:tab w:val="left" w:pos="831"/>
        </w:tabs>
        <w:spacing w:before="0" w:line="263" w:lineRule="exact"/>
        <w:ind w:left="831" w:hanging="359"/>
        <w:rPr>
          <w:sz w:val="23"/>
          <w:lang w:val="es-MX"/>
        </w:rPr>
      </w:pPr>
      <w:r w:rsidRPr="00116D00">
        <w:rPr>
          <w:color w:val="777777"/>
          <w:w w:val="105"/>
          <w:sz w:val="23"/>
          <w:lang w:val="es-MX"/>
        </w:rPr>
        <w:t>Ingresos del 301 % al 400 % de las pautas del FPL descontados al 75 % de la responsabilidad de pago por cuenta propia.</w:t>
      </w:r>
    </w:p>
    <w:p w14:paraId="0041F502" w14:textId="7604081C" w:rsidR="005053F5" w:rsidRPr="00116D00" w:rsidRDefault="00116D00">
      <w:pPr>
        <w:pStyle w:val="ListParagraph"/>
        <w:numPr>
          <w:ilvl w:val="1"/>
          <w:numId w:val="2"/>
        </w:numPr>
        <w:tabs>
          <w:tab w:val="left" w:pos="1191"/>
        </w:tabs>
        <w:spacing w:line="249" w:lineRule="auto"/>
        <w:ind w:right="506" w:hanging="362"/>
        <w:rPr>
          <w:sz w:val="23"/>
          <w:lang w:val="es-MX"/>
        </w:rPr>
      </w:pPr>
      <w:r w:rsidRPr="00116D00">
        <w:rPr>
          <w:color w:val="777777"/>
          <w:w w:val="105"/>
          <w:sz w:val="23"/>
          <w:lang w:val="es-MX"/>
        </w:rPr>
        <w:t>Si un paciente está asegurado, la responsabilidad del paciente se reduce a la diferencia entre el máximo (75 % de la responsabilidad de pago por cuenta propia) y el pago de la compañía de seguros.</w:t>
      </w:r>
    </w:p>
    <w:p w14:paraId="7D60FBCE" w14:textId="137060C4" w:rsidR="005053F5" w:rsidRPr="00116D00" w:rsidRDefault="00116D00">
      <w:pPr>
        <w:pStyle w:val="ListParagraph"/>
        <w:numPr>
          <w:ilvl w:val="0"/>
          <w:numId w:val="2"/>
        </w:numPr>
        <w:tabs>
          <w:tab w:val="left" w:pos="830"/>
        </w:tabs>
        <w:spacing w:before="5"/>
        <w:ind w:left="830" w:hanging="356"/>
        <w:rPr>
          <w:sz w:val="23"/>
          <w:lang w:val="es-MX"/>
        </w:rPr>
      </w:pPr>
      <w:r w:rsidRPr="00116D00">
        <w:rPr>
          <w:color w:val="878787"/>
          <w:w w:val="105"/>
          <w:sz w:val="23"/>
          <w:lang w:val="es-MX"/>
        </w:rPr>
        <w:t>Ingresos &gt; 400 % de las pautas del FPL Responsabilidad de pago por cuenta propia.</w:t>
      </w:r>
    </w:p>
    <w:p w14:paraId="0CA902E1" w14:textId="5BAAF72E" w:rsidR="005053F5" w:rsidRPr="00116D00" w:rsidRDefault="006C6DDC">
      <w:pPr>
        <w:pStyle w:val="ListParagraph"/>
        <w:numPr>
          <w:ilvl w:val="1"/>
          <w:numId w:val="2"/>
        </w:numPr>
        <w:tabs>
          <w:tab w:val="left" w:pos="1187"/>
          <w:tab w:val="left" w:pos="1190"/>
        </w:tabs>
        <w:spacing w:line="249" w:lineRule="auto"/>
        <w:ind w:left="1187" w:right="393" w:hanging="359"/>
        <w:rPr>
          <w:sz w:val="23"/>
          <w:lang w:val="es-MX"/>
        </w:rPr>
      </w:pPr>
      <w:r w:rsidRPr="00116D00">
        <w:rPr>
          <w:color w:val="878787"/>
          <w:sz w:val="23"/>
          <w:lang w:val="es-MX"/>
        </w:rPr>
        <w:tab/>
      </w:r>
      <w:r w:rsidR="00116D00" w:rsidRPr="00116D00">
        <w:rPr>
          <w:color w:val="878787"/>
          <w:w w:val="105"/>
          <w:sz w:val="23"/>
          <w:lang w:val="es-MX"/>
        </w:rPr>
        <w:t>Si un paciente está asegurado, la responsabilidad del paciente se reduce a la diferencia entre el monto máximo (Responsabilidad de pago propio) y el pago de la compañía de seguros.</w:t>
      </w:r>
    </w:p>
    <w:p w14:paraId="4AE028F6" w14:textId="77777777" w:rsidR="005053F5" w:rsidRPr="00116D00" w:rsidRDefault="005053F5">
      <w:pPr>
        <w:pStyle w:val="BodyText"/>
        <w:spacing w:before="7"/>
        <w:rPr>
          <w:lang w:val="es-MX"/>
        </w:rPr>
      </w:pPr>
    </w:p>
    <w:p w14:paraId="48861CAF" w14:textId="77777777" w:rsidR="00116D00" w:rsidRPr="00116D00" w:rsidRDefault="00116D00" w:rsidP="00116D00">
      <w:pPr>
        <w:pStyle w:val="Heading1"/>
        <w:spacing w:before="1"/>
        <w:rPr>
          <w:color w:val="878787"/>
        </w:rPr>
      </w:pPr>
    </w:p>
    <w:p w14:paraId="14903A30" w14:textId="5C0750B8" w:rsidR="005053F5" w:rsidRDefault="00116D00" w:rsidP="00116D00">
      <w:pPr>
        <w:pStyle w:val="Heading1"/>
        <w:spacing w:before="1"/>
      </w:pPr>
      <w:r w:rsidRPr="00116D00">
        <w:rPr>
          <w:color w:val="878787"/>
        </w:rPr>
        <w:t xml:space="preserve">Planes de </w:t>
      </w:r>
      <w:proofErr w:type="spellStart"/>
      <w:r w:rsidRPr="00116D00">
        <w:rPr>
          <w:color w:val="878787"/>
        </w:rPr>
        <w:t>pago</w:t>
      </w:r>
      <w:proofErr w:type="spellEnd"/>
    </w:p>
    <w:p w14:paraId="3DEBD266" w14:textId="24A08B18" w:rsidR="00E4519C" w:rsidRPr="00116D00" w:rsidRDefault="006C6DDC" w:rsidP="00E4519C">
      <w:pPr>
        <w:pStyle w:val="ListParagraph"/>
        <w:numPr>
          <w:ilvl w:val="0"/>
          <w:numId w:val="5"/>
        </w:numPr>
        <w:tabs>
          <w:tab w:val="left" w:pos="646"/>
          <w:tab w:val="left" w:pos="653"/>
        </w:tabs>
        <w:spacing w:before="38" w:line="249" w:lineRule="auto"/>
        <w:ind w:left="646" w:right="695" w:hanging="529"/>
        <w:rPr>
          <w:color w:val="878787"/>
          <w:sz w:val="23"/>
          <w:lang w:val="es-MX"/>
        </w:rPr>
      </w:pPr>
      <w:r>
        <w:rPr>
          <w:color w:val="878787"/>
          <w:sz w:val="23"/>
        </w:rPr>
        <w:tab/>
      </w:r>
      <w:r w:rsidR="00116D00" w:rsidRPr="00116D00">
        <w:rPr>
          <w:color w:val="878787"/>
          <w:w w:val="105"/>
          <w:sz w:val="23"/>
          <w:lang w:val="es-MX"/>
        </w:rPr>
        <w:t>CIH ampliará un plan de pago sin intereses para aquellos pacientes con ingresos familiares del FPL del 201% al 400%.</w:t>
      </w:r>
    </w:p>
    <w:p w14:paraId="4EDD97D0" w14:textId="7AD99B73" w:rsidR="005053F5" w:rsidRPr="00116D00" w:rsidRDefault="00116D00" w:rsidP="00E4519C">
      <w:pPr>
        <w:pStyle w:val="ListParagraph"/>
        <w:numPr>
          <w:ilvl w:val="0"/>
          <w:numId w:val="5"/>
        </w:numPr>
        <w:tabs>
          <w:tab w:val="left" w:pos="646"/>
          <w:tab w:val="left" w:pos="653"/>
        </w:tabs>
        <w:spacing w:before="38" w:line="249" w:lineRule="auto"/>
        <w:ind w:left="646" w:right="695" w:hanging="529"/>
        <w:rPr>
          <w:color w:val="878787"/>
          <w:sz w:val="23"/>
          <w:lang w:val="es-MX"/>
        </w:rPr>
      </w:pPr>
      <w:r w:rsidRPr="00116D00">
        <w:rPr>
          <w:color w:val="777777"/>
          <w:w w:val="105"/>
          <w:sz w:val="23"/>
          <w:lang w:val="es-MX"/>
        </w:rPr>
        <w:t>CIH ofrecerá la opción de registrarse con Care Credit para pagar el saldo de la factura.</w:t>
      </w:r>
    </w:p>
    <w:p w14:paraId="2615E234" w14:textId="77777777" w:rsidR="005053F5" w:rsidRPr="00116D00" w:rsidRDefault="005053F5">
      <w:pPr>
        <w:pStyle w:val="BodyText"/>
        <w:spacing w:before="26"/>
        <w:rPr>
          <w:lang w:val="es-MX"/>
        </w:rPr>
      </w:pPr>
    </w:p>
    <w:p w14:paraId="30939DFD" w14:textId="0E0ED7D0" w:rsidR="005053F5" w:rsidRPr="00116D00" w:rsidRDefault="00116D00">
      <w:pPr>
        <w:pStyle w:val="Heading1"/>
        <w:ind w:left="120"/>
        <w:rPr>
          <w:lang w:val="es-MX"/>
        </w:rPr>
      </w:pPr>
      <w:r w:rsidRPr="00116D00">
        <w:rPr>
          <w:color w:val="777777"/>
          <w:w w:val="105"/>
          <w:lang w:val="es-MX"/>
        </w:rPr>
        <w:t>Cobro de deudas para pacientes elegibles</w:t>
      </w:r>
    </w:p>
    <w:p w14:paraId="2A20B61F" w14:textId="466AD14E" w:rsidR="005053F5" w:rsidRPr="00116D00" w:rsidRDefault="006C6DDC">
      <w:pPr>
        <w:pStyle w:val="ListParagraph"/>
        <w:numPr>
          <w:ilvl w:val="0"/>
          <w:numId w:val="5"/>
        </w:numPr>
        <w:tabs>
          <w:tab w:val="left" w:pos="475"/>
          <w:tab w:val="left" w:pos="485"/>
        </w:tabs>
        <w:spacing w:before="39" w:line="252" w:lineRule="auto"/>
        <w:ind w:left="475" w:right="484" w:hanging="358"/>
        <w:rPr>
          <w:color w:val="878787"/>
          <w:sz w:val="23"/>
          <w:lang w:val="es-MX"/>
        </w:rPr>
      </w:pPr>
      <w:r w:rsidRPr="00116D00">
        <w:rPr>
          <w:color w:val="878787"/>
          <w:sz w:val="23"/>
          <w:lang w:val="es-MX"/>
        </w:rPr>
        <w:tab/>
      </w:r>
      <w:r w:rsidR="00116D00" w:rsidRPr="00116D00">
        <w:rPr>
          <w:color w:val="777777"/>
          <w:w w:val="105"/>
          <w:sz w:val="23"/>
          <w:lang w:val="es-MX"/>
        </w:rPr>
        <w:t>Si el pago no se ha recibido en su totalidad dentro de los 180 días, Servicios Financieros para Pacientes aplicará su programa de cobro de efectivo. CIH no permitirá que una cuenta tenga información adversa reportada a una agencia de informes crediticios ni iniciará una acción civil contra un paciente por falta de pago en ningún momento antes de los 180 días después de la facturación. Si un paciente tiene una apelación pendiente para la cobertura de servicios, CIH no permitirá que una cuenta tenga información adversa reportada a una agencia de informes crediticios ni iniciará una acción civil contra el paciente por falta de pago en ningún momento antes de 180 días después de que el paciente se completa la apelación.</w:t>
      </w:r>
    </w:p>
    <w:p w14:paraId="43F79A7A" w14:textId="77777777" w:rsidR="005053F5" w:rsidRPr="00116D00" w:rsidRDefault="005053F5">
      <w:pPr>
        <w:pStyle w:val="BodyText"/>
        <w:spacing w:before="2"/>
        <w:rPr>
          <w:lang w:val="es-MX"/>
        </w:rPr>
      </w:pPr>
    </w:p>
    <w:p w14:paraId="0CEE24A6" w14:textId="1B34D953" w:rsidR="005053F5" w:rsidRPr="00116D00" w:rsidRDefault="00141F6A">
      <w:pPr>
        <w:pStyle w:val="Heading1"/>
        <w:spacing w:line="257" w:lineRule="exact"/>
        <w:ind w:left="128"/>
        <w:rPr>
          <w:lang w:val="es-MX"/>
        </w:rPr>
      </w:pPr>
      <w:r>
        <w:rPr>
          <w:noProof/>
          <w:color w:val="AAAAAA"/>
          <w:spacing w:val="-16"/>
          <w:w w:val="64"/>
          <w:sz w:val="24"/>
        </w:rPr>
        <w:lastRenderedPageBreak/>
        <w:drawing>
          <wp:anchor distT="0" distB="0" distL="114300" distR="114300" simplePos="0" relativeHeight="487355904" behindDoc="1" locked="0" layoutInCell="1" allowOverlap="1" wp14:anchorId="2C53D752" wp14:editId="6EBE88F8">
            <wp:simplePos x="0" y="0"/>
            <wp:positionH relativeFrom="margin">
              <wp:posOffset>1487281</wp:posOffset>
            </wp:positionH>
            <wp:positionV relativeFrom="paragraph">
              <wp:posOffset>-556150</wp:posOffset>
            </wp:positionV>
            <wp:extent cx="3921125" cy="816610"/>
            <wp:effectExtent l="0" t="0" r="3175" b="2540"/>
            <wp:wrapNone/>
            <wp:docPr id="15002010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9227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1125" cy="816610"/>
                    </a:xfrm>
                    <a:prstGeom prst="rect">
                      <a:avLst/>
                    </a:prstGeom>
                  </pic:spPr>
                </pic:pic>
              </a:graphicData>
            </a:graphic>
            <wp14:sizeRelH relativeFrom="margin">
              <wp14:pctWidth>0</wp14:pctWidth>
            </wp14:sizeRelH>
            <wp14:sizeRelV relativeFrom="margin">
              <wp14:pctHeight>0</wp14:pctHeight>
            </wp14:sizeRelV>
          </wp:anchor>
        </w:drawing>
      </w:r>
      <w:r w:rsidR="00116D00" w:rsidRPr="00116D00">
        <w:rPr>
          <w:color w:val="878787"/>
          <w:spacing w:val="-2"/>
          <w:w w:val="105"/>
          <w:lang w:val="es-MX"/>
        </w:rPr>
        <w:t>Proceso de revisión y aprobación de la solicitud</w:t>
      </w:r>
    </w:p>
    <w:tbl>
      <w:tblPr>
        <w:tblpPr w:leftFromText="180" w:rightFromText="180" w:vertAnchor="text" w:horzAnchor="margin" w:tblpY="-63"/>
        <w:tblW w:w="109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97"/>
        <w:gridCol w:w="5468"/>
        <w:gridCol w:w="29"/>
      </w:tblGrid>
      <w:tr w:rsidR="00141F6A" w14:paraId="7390011F" w14:textId="77777777" w:rsidTr="00141F6A">
        <w:trPr>
          <w:trHeight w:val="604"/>
        </w:trPr>
        <w:tc>
          <w:tcPr>
            <w:tcW w:w="5497" w:type="dxa"/>
          </w:tcPr>
          <w:p w14:paraId="5BFEE3B3" w14:textId="54B7FBC6" w:rsidR="00141F6A" w:rsidRPr="00141F6A" w:rsidRDefault="00141F6A" w:rsidP="00141F6A">
            <w:pPr>
              <w:pStyle w:val="TableParagraph"/>
              <w:spacing w:before="16"/>
              <w:ind w:left="134"/>
              <w:rPr>
                <w:b/>
                <w:color w:val="828282"/>
                <w:w w:val="105"/>
                <w:sz w:val="19"/>
                <w:lang w:val="es-MX"/>
              </w:rPr>
            </w:pPr>
            <w:r w:rsidRPr="002431AE">
              <w:rPr>
                <w:b/>
                <w:color w:val="808080"/>
                <w:w w:val="105"/>
                <w:sz w:val="19"/>
                <w:lang w:val="es-MX"/>
              </w:rPr>
              <w:t>DEPARTAMENTO:</w:t>
            </w:r>
            <w:r w:rsidRPr="002431AE">
              <w:rPr>
                <w:b/>
                <w:color w:val="808080"/>
                <w:spacing w:val="3"/>
                <w:w w:val="105"/>
                <w:sz w:val="19"/>
                <w:lang w:val="es-MX"/>
              </w:rPr>
              <w:t xml:space="preserve"> </w:t>
            </w:r>
            <w:r w:rsidRPr="0088650C">
              <w:rPr>
                <w:b/>
                <w:color w:val="808080"/>
                <w:w w:val="105"/>
                <w:sz w:val="19"/>
                <w:lang w:val="es-ES"/>
              </w:rPr>
              <w:t xml:space="preserve">Servicios </w:t>
            </w:r>
            <w:r>
              <w:rPr>
                <w:b/>
                <w:color w:val="808080"/>
                <w:w w:val="105"/>
                <w:sz w:val="19"/>
                <w:lang w:val="es-ES"/>
              </w:rPr>
              <w:t>F</w:t>
            </w:r>
            <w:r w:rsidRPr="0088650C">
              <w:rPr>
                <w:b/>
                <w:color w:val="808080"/>
                <w:w w:val="105"/>
                <w:sz w:val="19"/>
                <w:lang w:val="es-ES"/>
              </w:rPr>
              <w:t xml:space="preserve">inancieros </w:t>
            </w:r>
            <w:r>
              <w:rPr>
                <w:b/>
                <w:color w:val="808080"/>
                <w:w w:val="105"/>
                <w:sz w:val="19"/>
                <w:lang w:val="es-ES"/>
              </w:rPr>
              <w:t>P</w:t>
            </w:r>
            <w:r w:rsidRPr="0088650C">
              <w:rPr>
                <w:b/>
                <w:color w:val="808080"/>
                <w:w w:val="105"/>
                <w:sz w:val="19"/>
                <w:lang w:val="es-ES"/>
              </w:rPr>
              <w:t xml:space="preserve">ara </w:t>
            </w:r>
            <w:r>
              <w:rPr>
                <w:b/>
                <w:color w:val="808080"/>
                <w:w w:val="105"/>
                <w:sz w:val="19"/>
                <w:lang w:val="es-ES"/>
              </w:rPr>
              <w:t>P</w:t>
            </w:r>
            <w:r w:rsidRPr="0088650C">
              <w:rPr>
                <w:b/>
                <w:color w:val="808080"/>
                <w:w w:val="105"/>
                <w:sz w:val="19"/>
                <w:lang w:val="es-ES"/>
              </w:rPr>
              <w:t>acientes</w:t>
            </w:r>
          </w:p>
        </w:tc>
        <w:tc>
          <w:tcPr>
            <w:tcW w:w="5497" w:type="dxa"/>
            <w:gridSpan w:val="2"/>
          </w:tcPr>
          <w:p w14:paraId="5C72200B" w14:textId="3142AABB" w:rsidR="00141F6A" w:rsidRDefault="00141F6A" w:rsidP="00141F6A">
            <w:pPr>
              <w:pStyle w:val="TableParagraph"/>
              <w:spacing w:before="16"/>
              <w:ind w:left="134"/>
              <w:rPr>
                <w:b/>
                <w:color w:val="828282"/>
                <w:w w:val="105"/>
                <w:sz w:val="19"/>
              </w:rPr>
            </w:pPr>
            <w:r>
              <w:rPr>
                <w:b/>
                <w:color w:val="808080"/>
                <w:w w:val="105"/>
                <w:sz w:val="19"/>
              </w:rPr>
              <w:t>CATEGORÍA:</w:t>
            </w:r>
            <w:r>
              <w:rPr>
                <w:b/>
                <w:color w:val="808080"/>
                <w:spacing w:val="1"/>
                <w:w w:val="105"/>
                <w:sz w:val="19"/>
              </w:rPr>
              <w:t xml:space="preserve"> </w:t>
            </w:r>
            <w:proofErr w:type="spellStart"/>
            <w:r>
              <w:rPr>
                <w:b/>
                <w:color w:val="808080"/>
                <w:spacing w:val="-2"/>
                <w:w w:val="105"/>
                <w:sz w:val="19"/>
              </w:rPr>
              <w:t>Políticas</w:t>
            </w:r>
            <w:proofErr w:type="spellEnd"/>
          </w:p>
        </w:tc>
      </w:tr>
      <w:tr w:rsidR="00141F6A" w:rsidRPr="00141F6A" w14:paraId="57978639" w14:textId="77777777" w:rsidTr="00141F6A">
        <w:trPr>
          <w:gridAfter w:val="1"/>
          <w:wAfter w:w="29" w:type="dxa"/>
          <w:trHeight w:val="604"/>
        </w:trPr>
        <w:tc>
          <w:tcPr>
            <w:tcW w:w="10965" w:type="dxa"/>
            <w:gridSpan w:val="2"/>
          </w:tcPr>
          <w:p w14:paraId="508883C1" w14:textId="659C8C91" w:rsidR="00141F6A" w:rsidRPr="00141F6A" w:rsidRDefault="00141F6A" w:rsidP="00141F6A">
            <w:pPr>
              <w:pStyle w:val="TableParagraph"/>
              <w:spacing w:before="9"/>
              <w:ind w:left="112"/>
              <w:rPr>
                <w:b/>
                <w:color w:val="828282"/>
                <w:w w:val="105"/>
                <w:sz w:val="19"/>
                <w:lang w:val="es-MX"/>
              </w:rPr>
            </w:pPr>
            <w:r w:rsidRPr="002431AE">
              <w:rPr>
                <w:b/>
                <w:color w:val="808080"/>
                <w:w w:val="105"/>
                <w:sz w:val="19"/>
                <w:lang w:val="es-MX"/>
              </w:rPr>
              <w:t>SUJETO:</w:t>
            </w:r>
            <w:r w:rsidRPr="002431AE">
              <w:rPr>
                <w:b/>
                <w:color w:val="808080"/>
                <w:spacing w:val="74"/>
                <w:w w:val="150"/>
                <w:sz w:val="19"/>
                <w:lang w:val="es-MX"/>
              </w:rPr>
              <w:t xml:space="preserve"> </w:t>
            </w:r>
            <w:r w:rsidRPr="0088650C">
              <w:rPr>
                <w:b/>
                <w:color w:val="808080"/>
                <w:w w:val="105"/>
                <w:sz w:val="19"/>
                <w:lang w:val="es-ES"/>
              </w:rPr>
              <w:t>Programa de ayuda financiera/descuento benéfico o atención caritativa parcial</w:t>
            </w:r>
          </w:p>
        </w:tc>
      </w:tr>
    </w:tbl>
    <w:p w14:paraId="5DBEA602" w14:textId="4F79500F" w:rsidR="005053F5" w:rsidRPr="00141F6A" w:rsidRDefault="00141F6A" w:rsidP="00141F6A">
      <w:pPr>
        <w:pStyle w:val="ListParagraph"/>
        <w:numPr>
          <w:ilvl w:val="0"/>
          <w:numId w:val="5"/>
        </w:numPr>
        <w:tabs>
          <w:tab w:val="left" w:pos="475"/>
          <w:tab w:val="left" w:pos="487"/>
        </w:tabs>
        <w:spacing w:before="30" w:line="199" w:lineRule="auto"/>
        <w:ind w:right="1059"/>
        <w:rPr>
          <w:color w:val="777777"/>
          <w:w w:val="105"/>
          <w:sz w:val="23"/>
          <w:lang w:val="es-MX"/>
        </w:rPr>
      </w:pPr>
      <w:r w:rsidRPr="00141F6A">
        <w:rPr>
          <w:color w:val="777777"/>
          <w:w w:val="105"/>
          <w:sz w:val="23"/>
          <w:lang w:val="es-MX"/>
        </w:rPr>
        <w:t>Servicios Financieros para Pacientes revisará todas las Solicitudes de Evaluación de Asistencia Financiera para determinar la elegibilidad para atención caritativa/atención caritativa parcial según los ingresos mensuales actuales y el tamaño de la familia como</w:t>
      </w:r>
      <w:r>
        <w:rPr>
          <w:color w:val="777777"/>
          <w:w w:val="105"/>
          <w:sz w:val="23"/>
          <w:lang w:val="es-MX"/>
        </w:rPr>
        <w:t xml:space="preserve"> </w:t>
      </w:r>
      <w:r w:rsidRPr="00141F6A">
        <w:rPr>
          <w:color w:val="777777"/>
          <w:w w:val="105"/>
          <w:sz w:val="23"/>
          <w:lang w:val="es-MX"/>
        </w:rPr>
        <w:t>proporcionada en la Solicitud de evaluación de asistencia financiera y la documentación de respaldo. Se harán esfuerzos razonables para verificar los datos financieros; incluida la obtención de un informe crediticio y se espera que el paciente participe en la obtención de la información necesaria. Si se encuentra un crédito disponible razonable a través del informe de crédito, el paciente no calificará para recibir atención caritativa. Toda la información financiera proporcionada se considerará confidencial y el personal respetará cada circunstancia con dignidad.</w:t>
      </w:r>
    </w:p>
    <w:p w14:paraId="1CA8585A" w14:textId="7BE26B8D" w:rsidR="005053F5" w:rsidRPr="00141F6A" w:rsidRDefault="006C6DDC" w:rsidP="002878A7">
      <w:pPr>
        <w:pStyle w:val="ListParagraph"/>
        <w:numPr>
          <w:ilvl w:val="0"/>
          <w:numId w:val="5"/>
        </w:numPr>
        <w:tabs>
          <w:tab w:val="left" w:pos="484"/>
          <w:tab w:val="left" w:pos="488"/>
        </w:tabs>
        <w:spacing w:before="27" w:line="196" w:lineRule="auto"/>
        <w:ind w:right="365"/>
        <w:rPr>
          <w:lang w:val="es-MX"/>
        </w:rPr>
      </w:pPr>
      <w:r w:rsidRPr="00141F6A">
        <w:rPr>
          <w:rFonts w:ascii="Arial" w:hAnsi="Arial"/>
          <w:color w:val="878787"/>
          <w:position w:val="-4"/>
          <w:sz w:val="33"/>
          <w:lang w:val="es-MX"/>
        </w:rPr>
        <w:tab/>
      </w:r>
      <w:r w:rsidR="00141F6A" w:rsidRPr="00141F6A">
        <w:rPr>
          <w:color w:val="878787"/>
          <w:w w:val="105"/>
          <w:sz w:val="23"/>
          <w:lang w:val="es-MX"/>
        </w:rPr>
        <w:t>Servicios Financieros para Pacientes enviará al solicitante una notificación por escrito sobre la determinación de elegibilidad o no elegibilidad para atención caritativa o atención caritativa parcial dentro de los 30 días posteriores a la recepción de la solicitud completa</w:t>
      </w:r>
      <w:r w:rsidR="00141F6A">
        <w:rPr>
          <w:color w:val="878787"/>
          <w:w w:val="105"/>
          <w:sz w:val="23"/>
          <w:lang w:val="es-MX"/>
        </w:rPr>
        <w:t xml:space="preserve"> s</w:t>
      </w:r>
      <w:r w:rsidR="00141F6A" w:rsidRPr="00141F6A">
        <w:rPr>
          <w:color w:val="878787"/>
          <w:w w:val="105"/>
          <w:sz w:val="23"/>
          <w:lang w:val="es-MX"/>
        </w:rPr>
        <w:t>olicitud de Evaluación de Asistencia Financiera.</w:t>
      </w:r>
    </w:p>
    <w:p w14:paraId="65FE57A4" w14:textId="03BB2EB3" w:rsidR="005053F5" w:rsidRPr="00141F6A" w:rsidRDefault="006C6DDC" w:rsidP="00141F6A">
      <w:pPr>
        <w:pStyle w:val="ListParagraph"/>
        <w:numPr>
          <w:ilvl w:val="0"/>
          <w:numId w:val="5"/>
        </w:numPr>
        <w:tabs>
          <w:tab w:val="left" w:pos="490"/>
          <w:tab w:val="left" w:pos="494"/>
        </w:tabs>
        <w:spacing w:before="29" w:line="204" w:lineRule="auto"/>
        <w:ind w:left="490" w:right="764" w:hanging="365"/>
        <w:rPr>
          <w:color w:val="878787"/>
          <w:position w:val="-4"/>
          <w:sz w:val="34"/>
          <w:lang w:val="es-MX"/>
        </w:rPr>
      </w:pPr>
      <w:r w:rsidRPr="00141F6A">
        <w:rPr>
          <w:color w:val="878787"/>
          <w:position w:val="-4"/>
          <w:sz w:val="34"/>
          <w:lang w:val="es-MX"/>
        </w:rPr>
        <w:tab/>
      </w:r>
      <w:r w:rsidR="00141F6A" w:rsidRPr="00141F6A">
        <w:rPr>
          <w:color w:val="878787"/>
          <w:w w:val="105"/>
          <w:sz w:val="23"/>
          <w:lang w:val="es-MX"/>
        </w:rPr>
        <w:t>CIH reconoce que pueden existir circunstancias o disputas extraordinarias que pueden justificar una apelación de la determinación de asistencia financiera. En tales casos, se debe enviar una descripción escrita de la naturaleza de las circunstancias o disputas extraordinarias a la atención de Servicios Financieros para Pacientes. Al recibirla, Servicios Financieros para Pacientes revisará la solicitud y aprobará, rechazará o hará una recomendación para la aprobación según los límites establecidos en el procedimiento.</w:t>
      </w:r>
    </w:p>
    <w:p w14:paraId="69751501" w14:textId="7B36BBED" w:rsidR="005053F5" w:rsidRPr="00141F6A" w:rsidRDefault="006C6DDC">
      <w:pPr>
        <w:pStyle w:val="ListParagraph"/>
        <w:numPr>
          <w:ilvl w:val="0"/>
          <w:numId w:val="1"/>
        </w:numPr>
        <w:tabs>
          <w:tab w:val="left" w:pos="836"/>
          <w:tab w:val="left" w:pos="848"/>
        </w:tabs>
        <w:spacing w:before="0" w:line="244" w:lineRule="auto"/>
        <w:ind w:right="753" w:hanging="352"/>
        <w:rPr>
          <w:color w:val="727272"/>
          <w:sz w:val="24"/>
          <w:lang w:val="es-MX"/>
        </w:rPr>
      </w:pPr>
      <w:r w:rsidRPr="00141F6A">
        <w:rPr>
          <w:color w:val="727272"/>
          <w:sz w:val="23"/>
          <w:lang w:val="es-MX"/>
        </w:rPr>
        <w:tab/>
      </w:r>
      <w:r w:rsidR="00141F6A" w:rsidRPr="00141F6A">
        <w:rPr>
          <w:color w:val="828282"/>
          <w:w w:val="105"/>
          <w:sz w:val="23"/>
          <w:lang w:val="es-MX"/>
        </w:rPr>
        <w:t>Las apelaciones a solicitudes denegadas se dirigirán a Servicios Financieros para Pacientes. La solicitud que se apela será revisada por Servicios Financieros para Pacientes, el Contralor para fines benéficos, ya sea total o parcial.</w:t>
      </w:r>
    </w:p>
    <w:p w14:paraId="4BB3ACD1" w14:textId="6C927748" w:rsidR="005053F5" w:rsidRPr="00141F6A" w:rsidRDefault="00141F6A">
      <w:pPr>
        <w:pStyle w:val="ListParagraph"/>
        <w:numPr>
          <w:ilvl w:val="0"/>
          <w:numId w:val="1"/>
        </w:numPr>
        <w:tabs>
          <w:tab w:val="left" w:pos="833"/>
          <w:tab w:val="left" w:pos="844"/>
        </w:tabs>
        <w:spacing w:before="5" w:line="252" w:lineRule="auto"/>
        <w:ind w:left="833" w:right="571" w:hanging="355"/>
        <w:rPr>
          <w:color w:val="828282"/>
          <w:sz w:val="23"/>
          <w:lang w:val="es-MX"/>
        </w:rPr>
      </w:pPr>
      <w:r w:rsidRPr="00141F6A">
        <w:rPr>
          <w:color w:val="828282"/>
          <w:sz w:val="23"/>
          <w:lang w:val="es-MX"/>
        </w:rPr>
        <w:t>Si se revierte la denegación, Servicios Financieros para Pacientes enviará al paciente una carta de aceptación de la apelación, indicando los motivos de la aceptación. Servicios Financieros para Pacientes actualizará la cuenta del paciente de acuerdo con los procedimientos de aprobación establecidos anteriormente.</w:t>
      </w:r>
    </w:p>
    <w:p w14:paraId="46F9A584" w14:textId="2D02A95B" w:rsidR="005053F5" w:rsidRPr="00141F6A" w:rsidRDefault="00141F6A">
      <w:pPr>
        <w:pStyle w:val="ListParagraph"/>
        <w:numPr>
          <w:ilvl w:val="0"/>
          <w:numId w:val="1"/>
        </w:numPr>
        <w:tabs>
          <w:tab w:val="left" w:pos="836"/>
        </w:tabs>
        <w:spacing w:before="4" w:line="242" w:lineRule="auto"/>
        <w:ind w:right="394" w:hanging="355"/>
        <w:rPr>
          <w:color w:val="828282"/>
          <w:sz w:val="23"/>
          <w:lang w:val="es-MX"/>
        </w:rPr>
      </w:pPr>
      <w:r w:rsidRPr="00141F6A">
        <w:rPr>
          <w:color w:val="727272"/>
          <w:w w:val="105"/>
          <w:sz w:val="23"/>
          <w:lang w:val="es-MX"/>
        </w:rPr>
        <w:t xml:space="preserve">Si se confirma la denegación, Servicios Financieros para Pacientes enviará al paciente una carta de denegación de apelación indicando los motivos de la </w:t>
      </w:r>
      <w:proofErr w:type="gramStart"/>
      <w:r w:rsidRPr="00141F6A">
        <w:rPr>
          <w:color w:val="727272"/>
          <w:w w:val="105"/>
          <w:sz w:val="23"/>
          <w:lang w:val="es-MX"/>
        </w:rPr>
        <w:t>denegación.</w:t>
      </w:r>
      <w:r w:rsidR="006C6DDC" w:rsidRPr="00141F6A">
        <w:rPr>
          <w:color w:val="828282"/>
          <w:w w:val="105"/>
          <w:sz w:val="23"/>
          <w:lang w:val="es-MX"/>
        </w:rPr>
        <w:t>.</w:t>
      </w:r>
      <w:proofErr w:type="gramEnd"/>
    </w:p>
    <w:p w14:paraId="724F9FC1" w14:textId="24DC3CA4" w:rsidR="005053F5" w:rsidRPr="00141F6A" w:rsidRDefault="006C6DDC">
      <w:pPr>
        <w:pStyle w:val="ListParagraph"/>
        <w:numPr>
          <w:ilvl w:val="0"/>
          <w:numId w:val="5"/>
        </w:numPr>
        <w:tabs>
          <w:tab w:val="left" w:pos="482"/>
          <w:tab w:val="left" w:pos="497"/>
        </w:tabs>
        <w:spacing w:before="35" w:line="249" w:lineRule="auto"/>
        <w:ind w:left="482" w:right="601" w:hanging="365"/>
        <w:rPr>
          <w:color w:val="828282"/>
          <w:sz w:val="23"/>
          <w:lang w:val="es-MX"/>
        </w:rPr>
      </w:pPr>
      <w:r w:rsidRPr="00141F6A">
        <w:rPr>
          <w:color w:val="828282"/>
          <w:sz w:val="23"/>
          <w:lang w:val="es-MX"/>
        </w:rPr>
        <w:tab/>
      </w:r>
      <w:r w:rsidR="00141F6A" w:rsidRPr="00141F6A">
        <w:rPr>
          <w:color w:val="828282"/>
          <w:w w:val="105"/>
          <w:sz w:val="23"/>
          <w:lang w:val="es-MX"/>
        </w:rPr>
        <w:t>Al cumplir con las pautas para la asignación total o parcial de atención caritativa, cualquier cuenta de paciente recomendada para atención caritativa o asignación parcial de atención caritativa está sujeta a los siguientes niveles de aprobación:</w:t>
      </w:r>
    </w:p>
    <w:p w14:paraId="73B0910B" w14:textId="175755DD" w:rsidR="005053F5" w:rsidRPr="00141F6A" w:rsidRDefault="00141F6A">
      <w:pPr>
        <w:pStyle w:val="ListParagraph"/>
        <w:numPr>
          <w:ilvl w:val="1"/>
          <w:numId w:val="5"/>
        </w:numPr>
        <w:tabs>
          <w:tab w:val="left" w:pos="832"/>
          <w:tab w:val="left" w:pos="2999"/>
        </w:tabs>
        <w:spacing w:before="0" w:line="263" w:lineRule="exact"/>
        <w:ind w:hanging="346"/>
        <w:rPr>
          <w:color w:val="828282"/>
          <w:sz w:val="23"/>
          <w:lang w:val="es-MX"/>
        </w:rPr>
      </w:pPr>
      <w:r w:rsidRPr="00141F6A">
        <w:rPr>
          <w:color w:val="979797"/>
          <w:sz w:val="23"/>
          <w:lang w:val="es-MX"/>
        </w:rPr>
        <w:t>$0 a $2,999</w:t>
      </w:r>
      <w:r>
        <w:rPr>
          <w:color w:val="979797"/>
          <w:sz w:val="23"/>
          <w:lang w:val="es-MX"/>
        </w:rPr>
        <w:t xml:space="preserve">           </w:t>
      </w:r>
      <w:r w:rsidRPr="00141F6A">
        <w:rPr>
          <w:color w:val="979797"/>
          <w:sz w:val="23"/>
          <w:lang w:val="es-MX"/>
        </w:rPr>
        <w:t>Servicios financieros para pacientes de</w:t>
      </w:r>
      <w:r>
        <w:rPr>
          <w:color w:val="979797"/>
          <w:sz w:val="23"/>
          <w:lang w:val="es-MX"/>
        </w:rPr>
        <w:t xml:space="preserve">           </w:t>
      </w:r>
      <w:r w:rsidRPr="00141F6A">
        <w:rPr>
          <w:color w:val="979797"/>
          <w:sz w:val="23"/>
          <w:lang w:val="es-MX"/>
        </w:rPr>
        <w:t xml:space="preserve"> </w:t>
      </w:r>
    </w:p>
    <w:p w14:paraId="57B93C6B" w14:textId="669A8DC5" w:rsidR="005053F5" w:rsidRPr="00141F6A" w:rsidRDefault="00141F6A">
      <w:pPr>
        <w:pStyle w:val="ListParagraph"/>
        <w:numPr>
          <w:ilvl w:val="1"/>
          <w:numId w:val="5"/>
        </w:numPr>
        <w:tabs>
          <w:tab w:val="left" w:pos="831"/>
          <w:tab w:val="left" w:pos="3006"/>
        </w:tabs>
        <w:ind w:left="831" w:hanging="352"/>
        <w:rPr>
          <w:color w:val="828282"/>
          <w:sz w:val="23"/>
          <w:lang w:val="es-MX"/>
        </w:rPr>
      </w:pPr>
      <w:r w:rsidRPr="00141F6A">
        <w:rPr>
          <w:color w:val="828282"/>
          <w:sz w:val="23"/>
          <w:lang w:val="es-MX"/>
        </w:rPr>
        <w:t>$3,000-&gt;</w:t>
      </w:r>
      <w:r>
        <w:rPr>
          <w:color w:val="828282"/>
          <w:sz w:val="23"/>
          <w:lang w:val="es-MX"/>
        </w:rPr>
        <w:t xml:space="preserve">              </w:t>
      </w:r>
      <w:r w:rsidRPr="00141F6A">
        <w:rPr>
          <w:color w:val="828282"/>
          <w:sz w:val="23"/>
          <w:lang w:val="es-MX"/>
        </w:rPr>
        <w:t xml:space="preserve"> Servicios financieros para pacientes/Controlador</w:t>
      </w:r>
    </w:p>
    <w:p w14:paraId="784FC496" w14:textId="77777777" w:rsidR="005053F5" w:rsidRPr="00141F6A" w:rsidRDefault="005053F5">
      <w:pPr>
        <w:pStyle w:val="BodyText"/>
        <w:spacing w:before="27"/>
        <w:rPr>
          <w:lang w:val="es-MX"/>
        </w:rPr>
      </w:pPr>
    </w:p>
    <w:p w14:paraId="2735A807" w14:textId="20E47AC6" w:rsidR="005053F5" w:rsidRPr="00141F6A" w:rsidRDefault="00141F6A">
      <w:pPr>
        <w:pStyle w:val="Heading1"/>
        <w:ind w:left="125"/>
        <w:rPr>
          <w:lang w:val="es-MX"/>
        </w:rPr>
      </w:pPr>
      <w:r w:rsidRPr="00141F6A">
        <w:rPr>
          <w:color w:val="828282"/>
          <w:w w:val="105"/>
          <w:lang w:val="es-MX"/>
        </w:rPr>
        <w:t>Escala móvil de las pautas federales de ingresos de pobreza</w:t>
      </w:r>
    </w:p>
    <w:p w14:paraId="507BDFFF" w14:textId="02FD55F1" w:rsidR="005053F5" w:rsidRPr="00141F6A" w:rsidRDefault="00141F6A">
      <w:pPr>
        <w:pStyle w:val="BodyText"/>
        <w:spacing w:before="17"/>
        <w:ind w:left="125"/>
        <w:rPr>
          <w:lang w:val="es-MX"/>
        </w:rPr>
      </w:pPr>
      <w:r w:rsidRPr="00141F6A">
        <w:rPr>
          <w:color w:val="828282"/>
          <w:w w:val="105"/>
          <w:lang w:val="es-MX"/>
        </w:rPr>
        <w:t>Guía de elegibilidad para 2024: uso del ingreso y el tamaño del hogar para identificar la elegibilidad para un descuento financiero.</w:t>
      </w: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26"/>
        <w:gridCol w:w="960"/>
        <w:gridCol w:w="2259"/>
        <w:gridCol w:w="2620"/>
        <w:gridCol w:w="3039"/>
      </w:tblGrid>
      <w:tr w:rsidR="005053F5" w:rsidRPr="00EC3991" w14:paraId="49E94849" w14:textId="77777777">
        <w:trPr>
          <w:trHeight w:val="1102"/>
        </w:trPr>
        <w:tc>
          <w:tcPr>
            <w:tcW w:w="1126" w:type="dxa"/>
          </w:tcPr>
          <w:p w14:paraId="3B4D101B" w14:textId="5756B072" w:rsidR="005053F5" w:rsidRDefault="00141F6A">
            <w:pPr>
              <w:pStyle w:val="TableParagraph"/>
              <w:spacing w:before="5" w:line="254" w:lineRule="auto"/>
              <w:ind w:left="371" w:hanging="127"/>
              <w:rPr>
                <w:sz w:val="23"/>
              </w:rPr>
            </w:pPr>
            <w:proofErr w:type="spellStart"/>
            <w:r w:rsidRPr="00141F6A">
              <w:rPr>
                <w:color w:val="828282"/>
                <w:spacing w:val="-2"/>
                <w:sz w:val="23"/>
              </w:rPr>
              <w:t>Tamaño</w:t>
            </w:r>
            <w:proofErr w:type="spellEnd"/>
            <w:r w:rsidRPr="00141F6A">
              <w:rPr>
                <w:color w:val="828282"/>
                <w:spacing w:val="-2"/>
                <w:sz w:val="23"/>
              </w:rPr>
              <w:t xml:space="preserve"> de la </w:t>
            </w:r>
            <w:proofErr w:type="spellStart"/>
            <w:r w:rsidRPr="00141F6A">
              <w:rPr>
                <w:color w:val="828282"/>
                <w:spacing w:val="-2"/>
                <w:sz w:val="23"/>
              </w:rPr>
              <w:t>familia</w:t>
            </w:r>
            <w:proofErr w:type="spellEnd"/>
          </w:p>
        </w:tc>
        <w:tc>
          <w:tcPr>
            <w:tcW w:w="960" w:type="dxa"/>
          </w:tcPr>
          <w:p w14:paraId="166FA6D1" w14:textId="0837408F" w:rsidR="005053F5" w:rsidRDefault="00141F6A">
            <w:pPr>
              <w:pStyle w:val="TableParagraph"/>
              <w:spacing w:before="5"/>
              <w:ind w:left="66"/>
              <w:jc w:val="center"/>
              <w:rPr>
                <w:sz w:val="23"/>
              </w:rPr>
            </w:pPr>
            <w:proofErr w:type="spellStart"/>
            <w:r w:rsidRPr="00141F6A">
              <w:rPr>
                <w:color w:val="828282"/>
                <w:spacing w:val="-2"/>
                <w:sz w:val="23"/>
              </w:rPr>
              <w:t>Período</w:t>
            </w:r>
            <w:proofErr w:type="spellEnd"/>
          </w:p>
        </w:tc>
        <w:tc>
          <w:tcPr>
            <w:tcW w:w="2259" w:type="dxa"/>
          </w:tcPr>
          <w:p w14:paraId="0A9AA12E" w14:textId="77777777" w:rsidR="00141F6A" w:rsidRPr="00141F6A" w:rsidRDefault="00141F6A" w:rsidP="00141F6A">
            <w:pPr>
              <w:pStyle w:val="TableParagraph"/>
              <w:spacing w:before="5" w:line="254" w:lineRule="auto"/>
              <w:ind w:left="131" w:right="587" w:hanging="3"/>
              <w:rPr>
                <w:color w:val="828282"/>
                <w:spacing w:val="-2"/>
                <w:w w:val="105"/>
                <w:sz w:val="23"/>
              </w:rPr>
            </w:pPr>
          </w:p>
          <w:p w14:paraId="545F4C95" w14:textId="69260E97" w:rsidR="005053F5" w:rsidRDefault="00141F6A" w:rsidP="00141F6A">
            <w:pPr>
              <w:pStyle w:val="TableParagraph"/>
              <w:spacing w:before="5" w:line="254" w:lineRule="auto"/>
              <w:ind w:left="131" w:right="587" w:hanging="3"/>
              <w:rPr>
                <w:sz w:val="23"/>
              </w:rPr>
            </w:pPr>
            <w:proofErr w:type="spellStart"/>
            <w:r w:rsidRPr="00141F6A">
              <w:rPr>
                <w:color w:val="828282"/>
                <w:spacing w:val="-2"/>
                <w:w w:val="105"/>
                <w:sz w:val="23"/>
              </w:rPr>
              <w:t>Pautas</w:t>
            </w:r>
            <w:proofErr w:type="spellEnd"/>
            <w:r w:rsidRPr="00141F6A">
              <w:rPr>
                <w:color w:val="828282"/>
                <w:spacing w:val="-2"/>
                <w:w w:val="105"/>
                <w:sz w:val="23"/>
              </w:rPr>
              <w:t xml:space="preserve"> federales de </w:t>
            </w:r>
            <w:proofErr w:type="spellStart"/>
            <w:r w:rsidRPr="00141F6A">
              <w:rPr>
                <w:color w:val="828282"/>
                <w:spacing w:val="-2"/>
                <w:w w:val="105"/>
                <w:sz w:val="23"/>
              </w:rPr>
              <w:t>pobreza</w:t>
            </w:r>
            <w:proofErr w:type="spellEnd"/>
          </w:p>
        </w:tc>
        <w:tc>
          <w:tcPr>
            <w:tcW w:w="2620" w:type="dxa"/>
          </w:tcPr>
          <w:p w14:paraId="1FBB4428" w14:textId="77777777" w:rsidR="00141F6A" w:rsidRPr="00141F6A" w:rsidRDefault="00141F6A" w:rsidP="00141F6A">
            <w:pPr>
              <w:pStyle w:val="TableParagraph"/>
              <w:spacing w:before="12" w:line="249" w:lineRule="auto"/>
              <w:ind w:left="127" w:right="116" w:hanging="1"/>
              <w:rPr>
                <w:color w:val="828282"/>
                <w:w w:val="105"/>
                <w:sz w:val="23"/>
                <w:lang w:val="es-MX"/>
              </w:rPr>
            </w:pPr>
            <w:r w:rsidRPr="00141F6A">
              <w:rPr>
                <w:color w:val="828282"/>
                <w:w w:val="105"/>
                <w:sz w:val="23"/>
                <w:lang w:val="es-MX"/>
              </w:rPr>
              <w:t>Si los ingresos están por debajo del 200 % (que se muestra a continuación) del FPIG, es elegible para recibir el beneficio completo.</w:t>
            </w:r>
          </w:p>
          <w:p w14:paraId="7F116FB1" w14:textId="6E328014" w:rsidR="005053F5" w:rsidRDefault="00141F6A" w:rsidP="00141F6A">
            <w:pPr>
              <w:pStyle w:val="TableParagraph"/>
              <w:spacing w:before="5" w:line="240" w:lineRule="exact"/>
              <w:ind w:left="131"/>
              <w:rPr>
                <w:sz w:val="23"/>
              </w:rPr>
            </w:pPr>
            <w:proofErr w:type="spellStart"/>
            <w:r w:rsidRPr="00141F6A">
              <w:rPr>
                <w:color w:val="828282"/>
                <w:w w:val="105"/>
                <w:sz w:val="23"/>
              </w:rPr>
              <w:t>pedir</w:t>
            </w:r>
            <w:proofErr w:type="spellEnd"/>
            <w:r w:rsidRPr="00141F6A">
              <w:rPr>
                <w:color w:val="828282"/>
                <w:w w:val="105"/>
                <w:sz w:val="23"/>
              </w:rPr>
              <w:t xml:space="preserve"> </w:t>
            </w:r>
            <w:proofErr w:type="spellStart"/>
            <w:r w:rsidRPr="00141F6A">
              <w:rPr>
                <w:color w:val="828282"/>
                <w:w w:val="105"/>
                <w:sz w:val="23"/>
              </w:rPr>
              <w:t>por</w:t>
            </w:r>
            <w:proofErr w:type="spellEnd"/>
            <w:r w:rsidRPr="00141F6A">
              <w:rPr>
                <w:color w:val="828282"/>
                <w:w w:val="105"/>
                <w:sz w:val="23"/>
              </w:rPr>
              <w:t xml:space="preserve"> </w:t>
            </w:r>
            <w:proofErr w:type="spellStart"/>
            <w:r w:rsidRPr="00141F6A">
              <w:rPr>
                <w:color w:val="828282"/>
                <w:w w:val="105"/>
                <w:sz w:val="23"/>
              </w:rPr>
              <w:t>escrito</w:t>
            </w:r>
            <w:proofErr w:type="spellEnd"/>
          </w:p>
        </w:tc>
        <w:tc>
          <w:tcPr>
            <w:tcW w:w="3039" w:type="dxa"/>
          </w:tcPr>
          <w:p w14:paraId="5D86ACEE" w14:textId="77777777" w:rsidR="00EC3991" w:rsidRPr="00EC3991" w:rsidRDefault="00EC3991" w:rsidP="00EC3991">
            <w:pPr>
              <w:pStyle w:val="TableParagraph"/>
              <w:spacing w:before="12" w:line="252" w:lineRule="auto"/>
              <w:ind w:left="123" w:firstLine="2"/>
              <w:rPr>
                <w:color w:val="828282"/>
                <w:w w:val="105"/>
                <w:sz w:val="23"/>
              </w:rPr>
            </w:pPr>
          </w:p>
          <w:p w14:paraId="5AF6D229" w14:textId="12A5009A" w:rsidR="005053F5" w:rsidRPr="00EC3991" w:rsidRDefault="00EC3991" w:rsidP="00EC3991">
            <w:pPr>
              <w:pStyle w:val="TableParagraph"/>
              <w:spacing w:before="12" w:line="252" w:lineRule="auto"/>
              <w:ind w:left="123" w:firstLine="2"/>
              <w:rPr>
                <w:sz w:val="23"/>
                <w:lang w:val="es-MX"/>
              </w:rPr>
            </w:pPr>
            <w:r w:rsidRPr="00EC3991">
              <w:rPr>
                <w:color w:val="828282"/>
                <w:w w:val="105"/>
                <w:sz w:val="23"/>
                <w:lang w:val="es-MX"/>
              </w:rPr>
              <w:t>Si el ingreso es superior al 300% pero inferior al 400% (como se muestra a continuación) es elegible para una cancelación parcial</w:t>
            </w:r>
          </w:p>
        </w:tc>
      </w:tr>
      <w:tr w:rsidR="005053F5" w14:paraId="02703577" w14:textId="77777777">
        <w:trPr>
          <w:trHeight w:val="323"/>
        </w:trPr>
        <w:tc>
          <w:tcPr>
            <w:tcW w:w="1126" w:type="dxa"/>
          </w:tcPr>
          <w:p w14:paraId="1586E6BF" w14:textId="77777777" w:rsidR="005053F5" w:rsidRDefault="006C6DDC">
            <w:pPr>
              <w:pStyle w:val="TableParagraph"/>
              <w:spacing w:before="34"/>
              <w:ind w:left="127"/>
              <w:rPr>
                <w:sz w:val="23"/>
              </w:rPr>
            </w:pPr>
            <w:r>
              <w:rPr>
                <w:color w:val="727272"/>
                <w:spacing w:val="-10"/>
                <w:w w:val="105"/>
                <w:sz w:val="23"/>
              </w:rPr>
              <w:t>1</w:t>
            </w:r>
          </w:p>
        </w:tc>
        <w:tc>
          <w:tcPr>
            <w:tcW w:w="960" w:type="dxa"/>
          </w:tcPr>
          <w:p w14:paraId="734EF923" w14:textId="466590A4" w:rsidR="005053F5" w:rsidRPr="00141F6A" w:rsidRDefault="00141F6A" w:rsidP="00141F6A">
            <w:pPr>
              <w:pStyle w:val="TableParagraph"/>
              <w:spacing w:before="34"/>
              <w:ind w:left="66"/>
              <w:jc w:val="center"/>
              <w:rPr>
                <w:color w:val="727272"/>
                <w:spacing w:val="-2"/>
                <w:sz w:val="23"/>
              </w:rPr>
            </w:pPr>
            <w:r w:rsidRPr="00141F6A">
              <w:rPr>
                <w:color w:val="727272"/>
                <w:spacing w:val="-2"/>
                <w:sz w:val="23"/>
                <w:lang w:val="es-ES"/>
              </w:rPr>
              <w:t>Anual</w:t>
            </w:r>
          </w:p>
        </w:tc>
        <w:tc>
          <w:tcPr>
            <w:tcW w:w="2259" w:type="dxa"/>
          </w:tcPr>
          <w:p w14:paraId="37B8A60E" w14:textId="31403851" w:rsidR="005053F5" w:rsidRDefault="00BE4322">
            <w:pPr>
              <w:pStyle w:val="TableParagraph"/>
              <w:spacing w:before="27"/>
              <w:ind w:left="127"/>
              <w:rPr>
                <w:sz w:val="23"/>
              </w:rPr>
            </w:pPr>
            <w:r>
              <w:rPr>
                <w:rFonts w:ascii="Helvetica" w:hAnsi="Helvetica" w:cs="Helvetica"/>
                <w:color w:val="1B1B1B"/>
                <w:sz w:val="25"/>
                <w:szCs w:val="25"/>
                <w:shd w:val="clear" w:color="auto" w:fill="FFFFFF"/>
              </w:rPr>
              <w:t xml:space="preserve"> $15,060</w:t>
            </w:r>
          </w:p>
        </w:tc>
        <w:tc>
          <w:tcPr>
            <w:tcW w:w="2620" w:type="dxa"/>
          </w:tcPr>
          <w:p w14:paraId="41C7481E" w14:textId="0C95B6F0" w:rsidR="005053F5" w:rsidRDefault="006C6DDC">
            <w:pPr>
              <w:pStyle w:val="TableParagraph"/>
              <w:spacing w:before="34"/>
              <w:ind w:left="127"/>
              <w:rPr>
                <w:sz w:val="23"/>
              </w:rPr>
            </w:pPr>
            <w:r>
              <w:rPr>
                <w:color w:val="828282"/>
                <w:spacing w:val="-2"/>
                <w:w w:val="105"/>
                <w:sz w:val="23"/>
              </w:rPr>
              <w:t>$25,760</w:t>
            </w:r>
            <w:r w:rsidR="000A4600">
              <w:rPr>
                <w:color w:val="828282"/>
                <w:spacing w:val="-2"/>
                <w:w w:val="105"/>
                <w:sz w:val="23"/>
              </w:rPr>
              <w:t xml:space="preserve"> $30,120</w:t>
            </w:r>
          </w:p>
        </w:tc>
        <w:tc>
          <w:tcPr>
            <w:tcW w:w="3039" w:type="dxa"/>
          </w:tcPr>
          <w:p w14:paraId="1526895B" w14:textId="59F87B9F" w:rsidR="005053F5" w:rsidRDefault="006C6DDC">
            <w:pPr>
              <w:pStyle w:val="TableParagraph"/>
              <w:spacing w:before="34"/>
              <w:ind w:left="120"/>
              <w:rPr>
                <w:sz w:val="23"/>
              </w:rPr>
            </w:pPr>
            <w:r>
              <w:rPr>
                <w:color w:val="828282"/>
                <w:spacing w:val="-2"/>
                <w:w w:val="105"/>
                <w:sz w:val="23"/>
              </w:rPr>
              <w:t>$51,520</w:t>
            </w:r>
            <w:r w:rsidR="000A4600">
              <w:rPr>
                <w:color w:val="828282"/>
                <w:spacing w:val="-2"/>
                <w:w w:val="105"/>
                <w:sz w:val="23"/>
              </w:rPr>
              <w:t xml:space="preserve"> $60,240</w:t>
            </w:r>
          </w:p>
        </w:tc>
      </w:tr>
      <w:tr w:rsidR="005053F5" w14:paraId="47E1EC51" w14:textId="77777777">
        <w:trPr>
          <w:trHeight w:val="280"/>
        </w:trPr>
        <w:tc>
          <w:tcPr>
            <w:tcW w:w="1126" w:type="dxa"/>
          </w:tcPr>
          <w:p w14:paraId="25BFBBB2" w14:textId="77777777" w:rsidR="005053F5" w:rsidRDefault="005053F5">
            <w:pPr>
              <w:pStyle w:val="TableParagraph"/>
              <w:rPr>
                <w:sz w:val="20"/>
              </w:rPr>
            </w:pPr>
          </w:p>
        </w:tc>
        <w:tc>
          <w:tcPr>
            <w:tcW w:w="960" w:type="dxa"/>
          </w:tcPr>
          <w:p w14:paraId="47906E9D" w14:textId="77777777" w:rsidR="005053F5" w:rsidRDefault="005053F5">
            <w:pPr>
              <w:pStyle w:val="TableParagraph"/>
              <w:rPr>
                <w:sz w:val="20"/>
              </w:rPr>
            </w:pPr>
          </w:p>
        </w:tc>
        <w:tc>
          <w:tcPr>
            <w:tcW w:w="2259" w:type="dxa"/>
          </w:tcPr>
          <w:p w14:paraId="0AF04A71" w14:textId="77777777" w:rsidR="005053F5" w:rsidRDefault="005053F5">
            <w:pPr>
              <w:pStyle w:val="TableParagraph"/>
              <w:rPr>
                <w:sz w:val="20"/>
              </w:rPr>
            </w:pPr>
          </w:p>
        </w:tc>
        <w:tc>
          <w:tcPr>
            <w:tcW w:w="2620" w:type="dxa"/>
          </w:tcPr>
          <w:p w14:paraId="3F647684" w14:textId="77777777" w:rsidR="005053F5" w:rsidRDefault="005053F5">
            <w:pPr>
              <w:pStyle w:val="TableParagraph"/>
              <w:rPr>
                <w:sz w:val="20"/>
              </w:rPr>
            </w:pPr>
          </w:p>
        </w:tc>
        <w:tc>
          <w:tcPr>
            <w:tcW w:w="3039" w:type="dxa"/>
          </w:tcPr>
          <w:p w14:paraId="0C2378E7" w14:textId="77777777" w:rsidR="005053F5" w:rsidRDefault="005053F5">
            <w:pPr>
              <w:pStyle w:val="TableParagraph"/>
              <w:rPr>
                <w:sz w:val="20"/>
              </w:rPr>
            </w:pPr>
          </w:p>
        </w:tc>
      </w:tr>
      <w:tr w:rsidR="005053F5" w14:paraId="2A6D9306" w14:textId="77777777">
        <w:trPr>
          <w:trHeight w:val="287"/>
        </w:trPr>
        <w:tc>
          <w:tcPr>
            <w:tcW w:w="1126" w:type="dxa"/>
          </w:tcPr>
          <w:p w14:paraId="4133B452" w14:textId="77777777" w:rsidR="005053F5" w:rsidRDefault="006C6DDC">
            <w:pPr>
              <w:pStyle w:val="TableParagraph"/>
              <w:spacing w:before="12" w:line="255" w:lineRule="exact"/>
              <w:ind w:left="128"/>
              <w:rPr>
                <w:sz w:val="23"/>
              </w:rPr>
            </w:pPr>
            <w:r>
              <w:rPr>
                <w:color w:val="828282"/>
                <w:spacing w:val="-10"/>
                <w:sz w:val="23"/>
              </w:rPr>
              <w:t>2</w:t>
            </w:r>
          </w:p>
        </w:tc>
        <w:tc>
          <w:tcPr>
            <w:tcW w:w="960" w:type="dxa"/>
          </w:tcPr>
          <w:p w14:paraId="77997FE8" w14:textId="21FB7288" w:rsidR="005053F5" w:rsidRPr="00141F6A" w:rsidRDefault="00141F6A" w:rsidP="00141F6A">
            <w:pPr>
              <w:pStyle w:val="TableParagraph"/>
              <w:spacing w:before="12" w:line="255" w:lineRule="exact"/>
              <w:ind w:left="66"/>
              <w:jc w:val="center"/>
              <w:rPr>
                <w:color w:val="828282"/>
                <w:spacing w:val="-2"/>
                <w:sz w:val="23"/>
              </w:rPr>
            </w:pPr>
            <w:r w:rsidRPr="00141F6A">
              <w:rPr>
                <w:color w:val="828282"/>
                <w:spacing w:val="-2"/>
                <w:sz w:val="23"/>
                <w:lang w:val="es-ES"/>
              </w:rPr>
              <w:t>Anual</w:t>
            </w:r>
          </w:p>
        </w:tc>
        <w:tc>
          <w:tcPr>
            <w:tcW w:w="2259" w:type="dxa"/>
          </w:tcPr>
          <w:p w14:paraId="56CCEA7B" w14:textId="07BD448F" w:rsidR="005053F5" w:rsidRDefault="00BE4322">
            <w:pPr>
              <w:pStyle w:val="TableParagraph"/>
              <w:spacing w:before="5" w:line="262" w:lineRule="exact"/>
              <w:ind w:left="127"/>
              <w:rPr>
                <w:sz w:val="23"/>
              </w:rPr>
            </w:pPr>
            <w:r>
              <w:rPr>
                <w:rFonts w:ascii="Helvetica" w:hAnsi="Helvetica" w:cs="Helvetica"/>
                <w:color w:val="1B1B1B"/>
                <w:sz w:val="25"/>
                <w:szCs w:val="25"/>
                <w:shd w:val="clear" w:color="auto" w:fill="FFFFFF"/>
              </w:rPr>
              <w:t xml:space="preserve"> $20,440</w:t>
            </w:r>
          </w:p>
        </w:tc>
        <w:tc>
          <w:tcPr>
            <w:tcW w:w="2620" w:type="dxa"/>
          </w:tcPr>
          <w:p w14:paraId="0E4C4CA0" w14:textId="4A249A97" w:rsidR="005053F5" w:rsidRDefault="006C6DDC">
            <w:pPr>
              <w:pStyle w:val="TableParagraph"/>
              <w:spacing w:before="5" w:line="262" w:lineRule="exact"/>
              <w:ind w:left="127"/>
              <w:rPr>
                <w:sz w:val="23"/>
              </w:rPr>
            </w:pPr>
            <w:r>
              <w:rPr>
                <w:color w:val="828282"/>
                <w:spacing w:val="-2"/>
                <w:w w:val="105"/>
                <w:sz w:val="23"/>
              </w:rPr>
              <w:t>$34,840</w:t>
            </w:r>
            <w:r w:rsidR="00451352">
              <w:rPr>
                <w:color w:val="828282"/>
                <w:spacing w:val="-2"/>
                <w:w w:val="105"/>
                <w:sz w:val="23"/>
              </w:rPr>
              <w:t xml:space="preserve"> $40,880</w:t>
            </w:r>
          </w:p>
        </w:tc>
        <w:tc>
          <w:tcPr>
            <w:tcW w:w="3039" w:type="dxa"/>
          </w:tcPr>
          <w:p w14:paraId="202444BC" w14:textId="37E1B0F2" w:rsidR="005053F5" w:rsidRDefault="006C6DDC">
            <w:pPr>
              <w:pStyle w:val="TableParagraph"/>
              <w:spacing w:before="12" w:line="255" w:lineRule="exact"/>
              <w:ind w:left="120"/>
              <w:rPr>
                <w:sz w:val="23"/>
              </w:rPr>
            </w:pPr>
            <w:r>
              <w:rPr>
                <w:color w:val="828282"/>
                <w:spacing w:val="-2"/>
                <w:w w:val="105"/>
                <w:sz w:val="23"/>
              </w:rPr>
              <w:t>$69,680</w:t>
            </w:r>
            <w:r w:rsidR="00451352">
              <w:rPr>
                <w:color w:val="828282"/>
                <w:spacing w:val="-2"/>
                <w:w w:val="105"/>
                <w:sz w:val="23"/>
              </w:rPr>
              <w:t xml:space="preserve"> $81,760</w:t>
            </w:r>
          </w:p>
        </w:tc>
      </w:tr>
      <w:tr w:rsidR="005053F5" w14:paraId="17A5D50A" w14:textId="77777777">
        <w:trPr>
          <w:trHeight w:val="272"/>
        </w:trPr>
        <w:tc>
          <w:tcPr>
            <w:tcW w:w="1126" w:type="dxa"/>
          </w:tcPr>
          <w:p w14:paraId="48AE25E5" w14:textId="77777777" w:rsidR="005053F5" w:rsidRDefault="005053F5">
            <w:pPr>
              <w:pStyle w:val="TableParagraph"/>
              <w:rPr>
                <w:sz w:val="20"/>
              </w:rPr>
            </w:pPr>
          </w:p>
        </w:tc>
        <w:tc>
          <w:tcPr>
            <w:tcW w:w="960" w:type="dxa"/>
          </w:tcPr>
          <w:p w14:paraId="5BF09E6D" w14:textId="77777777" w:rsidR="005053F5" w:rsidRDefault="005053F5">
            <w:pPr>
              <w:pStyle w:val="TableParagraph"/>
              <w:rPr>
                <w:sz w:val="20"/>
              </w:rPr>
            </w:pPr>
          </w:p>
        </w:tc>
        <w:tc>
          <w:tcPr>
            <w:tcW w:w="2259" w:type="dxa"/>
          </w:tcPr>
          <w:p w14:paraId="38FAAC71" w14:textId="77777777" w:rsidR="005053F5" w:rsidRDefault="005053F5">
            <w:pPr>
              <w:pStyle w:val="TableParagraph"/>
              <w:rPr>
                <w:sz w:val="20"/>
              </w:rPr>
            </w:pPr>
          </w:p>
        </w:tc>
        <w:tc>
          <w:tcPr>
            <w:tcW w:w="2620" w:type="dxa"/>
          </w:tcPr>
          <w:p w14:paraId="03B633A9" w14:textId="77777777" w:rsidR="005053F5" w:rsidRDefault="005053F5">
            <w:pPr>
              <w:pStyle w:val="TableParagraph"/>
              <w:rPr>
                <w:sz w:val="20"/>
              </w:rPr>
            </w:pPr>
          </w:p>
        </w:tc>
        <w:tc>
          <w:tcPr>
            <w:tcW w:w="3039" w:type="dxa"/>
          </w:tcPr>
          <w:p w14:paraId="7FE88E3E" w14:textId="77777777" w:rsidR="005053F5" w:rsidRDefault="005053F5">
            <w:pPr>
              <w:pStyle w:val="TableParagraph"/>
              <w:rPr>
                <w:sz w:val="20"/>
              </w:rPr>
            </w:pPr>
          </w:p>
        </w:tc>
      </w:tr>
      <w:tr w:rsidR="005053F5" w14:paraId="7046AF1C" w14:textId="77777777">
        <w:trPr>
          <w:trHeight w:val="323"/>
        </w:trPr>
        <w:tc>
          <w:tcPr>
            <w:tcW w:w="1126" w:type="dxa"/>
          </w:tcPr>
          <w:p w14:paraId="4FEAA57E" w14:textId="77777777" w:rsidR="005053F5" w:rsidRDefault="006C6DDC">
            <w:pPr>
              <w:pStyle w:val="TableParagraph"/>
              <w:spacing w:before="34"/>
              <w:ind w:left="123"/>
              <w:rPr>
                <w:sz w:val="23"/>
              </w:rPr>
            </w:pPr>
            <w:r>
              <w:rPr>
                <w:color w:val="828282"/>
                <w:spacing w:val="-10"/>
                <w:w w:val="105"/>
                <w:sz w:val="23"/>
              </w:rPr>
              <w:lastRenderedPageBreak/>
              <w:t>3</w:t>
            </w:r>
          </w:p>
        </w:tc>
        <w:tc>
          <w:tcPr>
            <w:tcW w:w="960" w:type="dxa"/>
          </w:tcPr>
          <w:p w14:paraId="77DBA9D6" w14:textId="044AA5EB" w:rsidR="005053F5" w:rsidRDefault="00EC3991">
            <w:pPr>
              <w:pStyle w:val="TableParagraph"/>
              <w:spacing w:before="27"/>
              <w:ind w:left="66"/>
              <w:jc w:val="center"/>
              <w:rPr>
                <w:sz w:val="23"/>
              </w:rPr>
            </w:pPr>
            <w:r w:rsidRPr="00141F6A">
              <w:rPr>
                <w:color w:val="828282"/>
                <w:spacing w:val="-2"/>
                <w:sz w:val="23"/>
                <w:lang w:val="es-ES"/>
              </w:rPr>
              <w:t>Anual</w:t>
            </w:r>
          </w:p>
        </w:tc>
        <w:tc>
          <w:tcPr>
            <w:tcW w:w="2259" w:type="dxa"/>
          </w:tcPr>
          <w:p w14:paraId="410F797E" w14:textId="02FBE038" w:rsidR="005053F5" w:rsidRDefault="00BE4322">
            <w:pPr>
              <w:pStyle w:val="TableParagraph"/>
              <w:spacing w:before="27"/>
              <w:ind w:left="127"/>
              <w:rPr>
                <w:sz w:val="23"/>
              </w:rPr>
            </w:pPr>
            <w:r>
              <w:rPr>
                <w:rFonts w:ascii="Helvetica" w:hAnsi="Helvetica" w:cs="Helvetica"/>
                <w:color w:val="1B1B1B"/>
                <w:sz w:val="25"/>
                <w:szCs w:val="25"/>
                <w:shd w:val="clear" w:color="auto" w:fill="FFFFFF"/>
              </w:rPr>
              <w:t>$25,820</w:t>
            </w:r>
          </w:p>
        </w:tc>
        <w:tc>
          <w:tcPr>
            <w:tcW w:w="2620" w:type="dxa"/>
          </w:tcPr>
          <w:p w14:paraId="09B4AF44" w14:textId="7E34C475" w:rsidR="005053F5" w:rsidRDefault="006C6DDC">
            <w:pPr>
              <w:pStyle w:val="TableParagraph"/>
              <w:spacing w:before="27"/>
              <w:ind w:left="127"/>
              <w:rPr>
                <w:sz w:val="23"/>
              </w:rPr>
            </w:pPr>
            <w:r>
              <w:rPr>
                <w:color w:val="828282"/>
                <w:spacing w:val="-2"/>
                <w:w w:val="105"/>
                <w:sz w:val="23"/>
              </w:rPr>
              <w:t>$43,920</w:t>
            </w:r>
            <w:r w:rsidR="00451352">
              <w:rPr>
                <w:color w:val="828282"/>
                <w:spacing w:val="-2"/>
                <w:w w:val="105"/>
                <w:sz w:val="23"/>
              </w:rPr>
              <w:t xml:space="preserve"> $51,640</w:t>
            </w:r>
          </w:p>
        </w:tc>
        <w:tc>
          <w:tcPr>
            <w:tcW w:w="3039" w:type="dxa"/>
          </w:tcPr>
          <w:p w14:paraId="73B48B08" w14:textId="38753540" w:rsidR="005053F5" w:rsidRDefault="006C6DDC" w:rsidP="00291512">
            <w:pPr>
              <w:pStyle w:val="TableParagraph"/>
              <w:tabs>
                <w:tab w:val="center" w:pos="1564"/>
              </w:tabs>
              <w:spacing w:before="34"/>
              <w:ind w:left="120"/>
              <w:rPr>
                <w:sz w:val="23"/>
              </w:rPr>
            </w:pPr>
            <w:r>
              <w:rPr>
                <w:color w:val="828282"/>
                <w:spacing w:val="-2"/>
                <w:w w:val="105"/>
                <w:sz w:val="23"/>
              </w:rPr>
              <w:t>$87,840</w:t>
            </w:r>
            <w:r w:rsidR="00451352">
              <w:rPr>
                <w:color w:val="828282"/>
                <w:spacing w:val="-2"/>
                <w:w w:val="105"/>
                <w:sz w:val="23"/>
              </w:rPr>
              <w:t xml:space="preserve"> $103,280</w:t>
            </w:r>
            <w:r w:rsidR="00451352">
              <w:rPr>
                <w:color w:val="828282"/>
                <w:spacing w:val="-2"/>
                <w:w w:val="105"/>
                <w:sz w:val="23"/>
              </w:rPr>
              <w:tab/>
            </w:r>
          </w:p>
        </w:tc>
      </w:tr>
      <w:tr w:rsidR="005053F5" w14:paraId="7FC64113" w14:textId="77777777">
        <w:trPr>
          <w:trHeight w:val="272"/>
        </w:trPr>
        <w:tc>
          <w:tcPr>
            <w:tcW w:w="1126" w:type="dxa"/>
          </w:tcPr>
          <w:p w14:paraId="62B8B317" w14:textId="77777777" w:rsidR="005053F5" w:rsidRDefault="005053F5">
            <w:pPr>
              <w:pStyle w:val="TableParagraph"/>
              <w:rPr>
                <w:sz w:val="20"/>
              </w:rPr>
            </w:pPr>
          </w:p>
        </w:tc>
        <w:tc>
          <w:tcPr>
            <w:tcW w:w="960" w:type="dxa"/>
          </w:tcPr>
          <w:p w14:paraId="62BB652D" w14:textId="77777777" w:rsidR="005053F5" w:rsidRDefault="005053F5">
            <w:pPr>
              <w:pStyle w:val="TableParagraph"/>
              <w:rPr>
                <w:sz w:val="20"/>
              </w:rPr>
            </w:pPr>
          </w:p>
        </w:tc>
        <w:tc>
          <w:tcPr>
            <w:tcW w:w="2259" w:type="dxa"/>
          </w:tcPr>
          <w:p w14:paraId="4A2557CC" w14:textId="77777777" w:rsidR="005053F5" w:rsidRDefault="005053F5">
            <w:pPr>
              <w:pStyle w:val="TableParagraph"/>
              <w:rPr>
                <w:sz w:val="20"/>
              </w:rPr>
            </w:pPr>
          </w:p>
        </w:tc>
        <w:tc>
          <w:tcPr>
            <w:tcW w:w="2620" w:type="dxa"/>
          </w:tcPr>
          <w:p w14:paraId="15A60EE5" w14:textId="77777777" w:rsidR="005053F5" w:rsidRDefault="005053F5">
            <w:pPr>
              <w:pStyle w:val="TableParagraph"/>
              <w:rPr>
                <w:sz w:val="20"/>
              </w:rPr>
            </w:pPr>
          </w:p>
        </w:tc>
        <w:tc>
          <w:tcPr>
            <w:tcW w:w="3039" w:type="dxa"/>
          </w:tcPr>
          <w:p w14:paraId="1E961C3E" w14:textId="77777777" w:rsidR="005053F5" w:rsidRDefault="005053F5">
            <w:pPr>
              <w:pStyle w:val="TableParagraph"/>
              <w:rPr>
                <w:sz w:val="20"/>
              </w:rPr>
            </w:pPr>
          </w:p>
        </w:tc>
      </w:tr>
      <w:tr w:rsidR="005053F5" w14:paraId="0E18BAA7" w14:textId="77777777">
        <w:trPr>
          <w:trHeight w:val="330"/>
        </w:trPr>
        <w:tc>
          <w:tcPr>
            <w:tcW w:w="1126" w:type="dxa"/>
          </w:tcPr>
          <w:p w14:paraId="73BB6BD6" w14:textId="77777777" w:rsidR="005053F5" w:rsidRDefault="006C6DDC">
            <w:pPr>
              <w:pStyle w:val="TableParagraph"/>
              <w:spacing w:before="27"/>
              <w:ind w:left="129"/>
              <w:rPr>
                <w:sz w:val="23"/>
              </w:rPr>
            </w:pPr>
            <w:r>
              <w:rPr>
                <w:color w:val="828282"/>
                <w:spacing w:val="-10"/>
                <w:w w:val="110"/>
                <w:sz w:val="23"/>
              </w:rPr>
              <w:t>4</w:t>
            </w:r>
          </w:p>
        </w:tc>
        <w:tc>
          <w:tcPr>
            <w:tcW w:w="960" w:type="dxa"/>
          </w:tcPr>
          <w:p w14:paraId="7824ED58" w14:textId="46685ECF" w:rsidR="005053F5" w:rsidRDefault="00EC3991">
            <w:pPr>
              <w:pStyle w:val="TableParagraph"/>
              <w:spacing w:before="19"/>
              <w:ind w:left="66"/>
              <w:jc w:val="center"/>
              <w:rPr>
                <w:sz w:val="23"/>
              </w:rPr>
            </w:pPr>
            <w:r w:rsidRPr="00141F6A">
              <w:rPr>
                <w:color w:val="828282"/>
                <w:spacing w:val="-2"/>
                <w:sz w:val="23"/>
                <w:lang w:val="es-ES"/>
              </w:rPr>
              <w:t>Anual</w:t>
            </w:r>
          </w:p>
        </w:tc>
        <w:tc>
          <w:tcPr>
            <w:tcW w:w="2259" w:type="dxa"/>
          </w:tcPr>
          <w:p w14:paraId="3BB24BDE" w14:textId="13D575A6" w:rsidR="005053F5" w:rsidRDefault="00BE4322">
            <w:pPr>
              <w:pStyle w:val="TableParagraph"/>
              <w:spacing w:before="27"/>
              <w:ind w:left="127"/>
              <w:rPr>
                <w:sz w:val="23"/>
              </w:rPr>
            </w:pPr>
            <w:r>
              <w:rPr>
                <w:rFonts w:ascii="Helvetica" w:hAnsi="Helvetica" w:cs="Helvetica"/>
                <w:color w:val="1B1B1B"/>
                <w:sz w:val="25"/>
                <w:szCs w:val="25"/>
                <w:shd w:val="clear" w:color="auto" w:fill="FFFFFF"/>
              </w:rPr>
              <w:t>$31,200</w:t>
            </w:r>
          </w:p>
        </w:tc>
        <w:tc>
          <w:tcPr>
            <w:tcW w:w="2620" w:type="dxa"/>
          </w:tcPr>
          <w:p w14:paraId="42156A13" w14:textId="4E9BD2B3" w:rsidR="00451352" w:rsidRPr="00291512" w:rsidRDefault="006C6DDC" w:rsidP="00451352">
            <w:pPr>
              <w:pStyle w:val="TableParagraph"/>
              <w:spacing w:before="27"/>
              <w:ind w:left="127"/>
              <w:rPr>
                <w:color w:val="828282"/>
                <w:spacing w:val="-2"/>
                <w:w w:val="105"/>
                <w:sz w:val="23"/>
              </w:rPr>
            </w:pPr>
            <w:r>
              <w:rPr>
                <w:color w:val="828282"/>
                <w:spacing w:val="-2"/>
                <w:w w:val="105"/>
                <w:sz w:val="23"/>
              </w:rPr>
              <w:t>$53,000</w:t>
            </w:r>
            <w:r w:rsidR="00451352">
              <w:rPr>
                <w:color w:val="828282"/>
                <w:spacing w:val="-2"/>
                <w:w w:val="105"/>
                <w:sz w:val="23"/>
              </w:rPr>
              <w:t xml:space="preserve"> $62,400</w:t>
            </w:r>
          </w:p>
        </w:tc>
        <w:tc>
          <w:tcPr>
            <w:tcW w:w="3039" w:type="dxa"/>
          </w:tcPr>
          <w:p w14:paraId="4A93405B" w14:textId="7AC25262" w:rsidR="005053F5" w:rsidRDefault="006C6DDC">
            <w:pPr>
              <w:pStyle w:val="TableParagraph"/>
              <w:spacing w:before="34"/>
              <w:ind w:left="127"/>
              <w:rPr>
                <w:sz w:val="23"/>
              </w:rPr>
            </w:pPr>
            <w:r>
              <w:rPr>
                <w:color w:val="828282"/>
                <w:spacing w:val="-2"/>
                <w:w w:val="105"/>
                <w:sz w:val="23"/>
              </w:rPr>
              <w:t>$106,000</w:t>
            </w:r>
            <w:r w:rsidR="00451352">
              <w:rPr>
                <w:color w:val="828282"/>
                <w:spacing w:val="-2"/>
                <w:w w:val="105"/>
                <w:sz w:val="23"/>
              </w:rPr>
              <w:t xml:space="preserve"> $124,800</w:t>
            </w:r>
          </w:p>
        </w:tc>
      </w:tr>
      <w:tr w:rsidR="005053F5" w14:paraId="24C7D613" w14:textId="77777777">
        <w:trPr>
          <w:trHeight w:val="265"/>
        </w:trPr>
        <w:tc>
          <w:tcPr>
            <w:tcW w:w="1126" w:type="dxa"/>
          </w:tcPr>
          <w:p w14:paraId="65BD591B" w14:textId="77777777" w:rsidR="005053F5" w:rsidRDefault="005053F5">
            <w:pPr>
              <w:pStyle w:val="TableParagraph"/>
              <w:rPr>
                <w:sz w:val="18"/>
              </w:rPr>
            </w:pPr>
          </w:p>
        </w:tc>
        <w:tc>
          <w:tcPr>
            <w:tcW w:w="960" w:type="dxa"/>
          </w:tcPr>
          <w:p w14:paraId="2C1042BE" w14:textId="77777777" w:rsidR="005053F5" w:rsidRDefault="005053F5">
            <w:pPr>
              <w:pStyle w:val="TableParagraph"/>
              <w:rPr>
                <w:sz w:val="18"/>
              </w:rPr>
            </w:pPr>
          </w:p>
        </w:tc>
        <w:tc>
          <w:tcPr>
            <w:tcW w:w="2259" w:type="dxa"/>
          </w:tcPr>
          <w:p w14:paraId="06DD3603" w14:textId="77777777" w:rsidR="005053F5" w:rsidRDefault="005053F5">
            <w:pPr>
              <w:pStyle w:val="TableParagraph"/>
              <w:rPr>
                <w:sz w:val="18"/>
              </w:rPr>
            </w:pPr>
          </w:p>
        </w:tc>
        <w:tc>
          <w:tcPr>
            <w:tcW w:w="2620" w:type="dxa"/>
          </w:tcPr>
          <w:p w14:paraId="6F6DD366" w14:textId="77777777" w:rsidR="005053F5" w:rsidRDefault="005053F5">
            <w:pPr>
              <w:pStyle w:val="TableParagraph"/>
              <w:rPr>
                <w:sz w:val="18"/>
              </w:rPr>
            </w:pPr>
          </w:p>
        </w:tc>
        <w:tc>
          <w:tcPr>
            <w:tcW w:w="3039" w:type="dxa"/>
          </w:tcPr>
          <w:p w14:paraId="6353E6BD" w14:textId="77777777" w:rsidR="005053F5" w:rsidRDefault="005053F5">
            <w:pPr>
              <w:pStyle w:val="TableParagraph"/>
              <w:rPr>
                <w:sz w:val="18"/>
              </w:rPr>
            </w:pPr>
          </w:p>
        </w:tc>
      </w:tr>
      <w:tr w:rsidR="005053F5" w14:paraId="5D307796" w14:textId="77777777">
        <w:trPr>
          <w:trHeight w:val="330"/>
        </w:trPr>
        <w:tc>
          <w:tcPr>
            <w:tcW w:w="1126" w:type="dxa"/>
          </w:tcPr>
          <w:p w14:paraId="216C6295" w14:textId="77777777" w:rsidR="005053F5" w:rsidRDefault="006C6DDC">
            <w:pPr>
              <w:pStyle w:val="TableParagraph"/>
              <w:spacing w:before="15"/>
              <w:ind w:left="128"/>
              <w:rPr>
                <w:sz w:val="25"/>
              </w:rPr>
            </w:pPr>
            <w:r>
              <w:rPr>
                <w:color w:val="828282"/>
                <w:spacing w:val="-10"/>
                <w:sz w:val="25"/>
              </w:rPr>
              <w:t>5</w:t>
            </w:r>
          </w:p>
        </w:tc>
        <w:tc>
          <w:tcPr>
            <w:tcW w:w="960" w:type="dxa"/>
          </w:tcPr>
          <w:p w14:paraId="560EB323" w14:textId="52F49262" w:rsidR="005053F5" w:rsidRDefault="00EC3991">
            <w:pPr>
              <w:pStyle w:val="TableParagraph"/>
              <w:spacing w:before="27"/>
              <w:ind w:left="66"/>
              <w:jc w:val="center"/>
              <w:rPr>
                <w:sz w:val="23"/>
              </w:rPr>
            </w:pPr>
            <w:r w:rsidRPr="00141F6A">
              <w:rPr>
                <w:color w:val="828282"/>
                <w:spacing w:val="-2"/>
                <w:sz w:val="23"/>
                <w:lang w:val="es-ES"/>
              </w:rPr>
              <w:t>Anual</w:t>
            </w:r>
          </w:p>
        </w:tc>
        <w:tc>
          <w:tcPr>
            <w:tcW w:w="2259" w:type="dxa"/>
          </w:tcPr>
          <w:p w14:paraId="0CFB2AB9" w14:textId="7F0F28B6" w:rsidR="005053F5" w:rsidRDefault="000A4600">
            <w:pPr>
              <w:pStyle w:val="TableParagraph"/>
              <w:spacing w:before="27"/>
              <w:ind w:left="127"/>
              <w:rPr>
                <w:sz w:val="23"/>
              </w:rPr>
            </w:pPr>
            <w:r>
              <w:rPr>
                <w:rFonts w:ascii="Helvetica" w:hAnsi="Helvetica" w:cs="Helvetica"/>
                <w:color w:val="1B1B1B"/>
                <w:sz w:val="25"/>
                <w:szCs w:val="25"/>
                <w:shd w:val="clear" w:color="auto" w:fill="FFFFFF"/>
              </w:rPr>
              <w:t xml:space="preserve"> $36,580</w:t>
            </w:r>
          </w:p>
        </w:tc>
        <w:tc>
          <w:tcPr>
            <w:tcW w:w="2620" w:type="dxa"/>
          </w:tcPr>
          <w:p w14:paraId="1AA2A8FE" w14:textId="30A3F2A4" w:rsidR="005053F5" w:rsidRDefault="006C6DDC">
            <w:pPr>
              <w:pStyle w:val="TableParagraph"/>
              <w:spacing w:before="27"/>
              <w:ind w:left="127"/>
              <w:rPr>
                <w:sz w:val="23"/>
              </w:rPr>
            </w:pPr>
            <w:r>
              <w:rPr>
                <w:color w:val="828282"/>
                <w:spacing w:val="-2"/>
                <w:w w:val="105"/>
                <w:sz w:val="23"/>
              </w:rPr>
              <w:t>$62,080</w:t>
            </w:r>
            <w:r w:rsidR="00451352">
              <w:rPr>
                <w:color w:val="828282"/>
                <w:spacing w:val="-2"/>
                <w:w w:val="105"/>
                <w:sz w:val="23"/>
              </w:rPr>
              <w:t xml:space="preserve"> $73,160</w:t>
            </w:r>
          </w:p>
        </w:tc>
        <w:tc>
          <w:tcPr>
            <w:tcW w:w="3039" w:type="dxa"/>
          </w:tcPr>
          <w:p w14:paraId="6D39CB13" w14:textId="1BCE6131" w:rsidR="005053F5" w:rsidRDefault="006C6DDC">
            <w:pPr>
              <w:pStyle w:val="TableParagraph"/>
              <w:spacing w:before="34"/>
              <w:ind w:left="127"/>
              <w:rPr>
                <w:sz w:val="23"/>
              </w:rPr>
            </w:pPr>
            <w:r>
              <w:rPr>
                <w:color w:val="828282"/>
                <w:spacing w:val="-2"/>
                <w:w w:val="105"/>
                <w:sz w:val="23"/>
              </w:rPr>
              <w:t>$124</w:t>
            </w:r>
            <w:r>
              <w:rPr>
                <w:color w:val="B1B1B1"/>
                <w:spacing w:val="-2"/>
                <w:w w:val="105"/>
                <w:sz w:val="23"/>
              </w:rPr>
              <w:t>,</w:t>
            </w:r>
            <w:r>
              <w:rPr>
                <w:color w:val="727272"/>
                <w:spacing w:val="-2"/>
                <w:w w:val="105"/>
                <w:sz w:val="23"/>
              </w:rPr>
              <w:t>160</w:t>
            </w:r>
            <w:r w:rsidR="00451352">
              <w:rPr>
                <w:color w:val="727272"/>
                <w:spacing w:val="-2"/>
                <w:w w:val="105"/>
                <w:sz w:val="23"/>
              </w:rPr>
              <w:t xml:space="preserve"> $146,320</w:t>
            </w:r>
          </w:p>
        </w:tc>
      </w:tr>
      <w:tr w:rsidR="005053F5" w14:paraId="58ADBCA5" w14:textId="77777777">
        <w:trPr>
          <w:trHeight w:val="265"/>
        </w:trPr>
        <w:tc>
          <w:tcPr>
            <w:tcW w:w="1126" w:type="dxa"/>
          </w:tcPr>
          <w:p w14:paraId="27688DAF" w14:textId="77777777" w:rsidR="005053F5" w:rsidRDefault="005053F5">
            <w:pPr>
              <w:pStyle w:val="TableParagraph"/>
              <w:rPr>
                <w:sz w:val="18"/>
              </w:rPr>
            </w:pPr>
          </w:p>
        </w:tc>
        <w:tc>
          <w:tcPr>
            <w:tcW w:w="960" w:type="dxa"/>
          </w:tcPr>
          <w:p w14:paraId="71104465" w14:textId="77777777" w:rsidR="005053F5" w:rsidRDefault="005053F5">
            <w:pPr>
              <w:pStyle w:val="TableParagraph"/>
              <w:rPr>
                <w:sz w:val="18"/>
              </w:rPr>
            </w:pPr>
          </w:p>
        </w:tc>
        <w:tc>
          <w:tcPr>
            <w:tcW w:w="2259" w:type="dxa"/>
          </w:tcPr>
          <w:p w14:paraId="181CBE05" w14:textId="77777777" w:rsidR="005053F5" w:rsidRDefault="005053F5">
            <w:pPr>
              <w:pStyle w:val="TableParagraph"/>
              <w:rPr>
                <w:sz w:val="18"/>
              </w:rPr>
            </w:pPr>
          </w:p>
        </w:tc>
        <w:tc>
          <w:tcPr>
            <w:tcW w:w="2620" w:type="dxa"/>
          </w:tcPr>
          <w:p w14:paraId="21B28BE0" w14:textId="77777777" w:rsidR="005053F5" w:rsidRDefault="005053F5">
            <w:pPr>
              <w:pStyle w:val="TableParagraph"/>
              <w:rPr>
                <w:sz w:val="18"/>
              </w:rPr>
            </w:pPr>
          </w:p>
        </w:tc>
        <w:tc>
          <w:tcPr>
            <w:tcW w:w="3039" w:type="dxa"/>
            <w:tcBorders>
              <w:right w:val="single" w:sz="4" w:space="0" w:color="000000"/>
            </w:tcBorders>
          </w:tcPr>
          <w:p w14:paraId="59ACE3D8" w14:textId="77777777" w:rsidR="005053F5" w:rsidRDefault="005053F5">
            <w:pPr>
              <w:pStyle w:val="TableParagraph"/>
              <w:rPr>
                <w:sz w:val="18"/>
              </w:rPr>
            </w:pPr>
          </w:p>
        </w:tc>
      </w:tr>
      <w:tr w:rsidR="005053F5" w14:paraId="0FB1F275" w14:textId="77777777">
        <w:trPr>
          <w:trHeight w:val="330"/>
        </w:trPr>
        <w:tc>
          <w:tcPr>
            <w:tcW w:w="1126" w:type="dxa"/>
          </w:tcPr>
          <w:p w14:paraId="1C2AE45B" w14:textId="77777777" w:rsidR="005053F5" w:rsidRDefault="006C6DDC">
            <w:pPr>
              <w:pStyle w:val="TableParagraph"/>
              <w:spacing w:before="34"/>
              <w:ind w:left="130"/>
              <w:rPr>
                <w:sz w:val="23"/>
              </w:rPr>
            </w:pPr>
            <w:r>
              <w:rPr>
                <w:color w:val="828282"/>
                <w:spacing w:val="-10"/>
                <w:w w:val="110"/>
                <w:sz w:val="23"/>
              </w:rPr>
              <w:t>6</w:t>
            </w:r>
          </w:p>
        </w:tc>
        <w:tc>
          <w:tcPr>
            <w:tcW w:w="960" w:type="dxa"/>
          </w:tcPr>
          <w:p w14:paraId="34872571" w14:textId="4842EC46" w:rsidR="005053F5" w:rsidRDefault="00EC3991">
            <w:pPr>
              <w:pStyle w:val="TableParagraph"/>
              <w:spacing w:before="19"/>
              <w:ind w:left="66"/>
              <w:jc w:val="center"/>
              <w:rPr>
                <w:sz w:val="23"/>
              </w:rPr>
            </w:pPr>
            <w:r w:rsidRPr="00141F6A">
              <w:rPr>
                <w:color w:val="828282"/>
                <w:spacing w:val="-2"/>
                <w:sz w:val="23"/>
                <w:lang w:val="es-ES"/>
              </w:rPr>
              <w:t>Anual</w:t>
            </w:r>
          </w:p>
        </w:tc>
        <w:tc>
          <w:tcPr>
            <w:tcW w:w="2259" w:type="dxa"/>
          </w:tcPr>
          <w:p w14:paraId="51B18A02" w14:textId="0399C2EF" w:rsidR="000A4600" w:rsidRPr="00291512" w:rsidRDefault="000A4600" w:rsidP="00291512">
            <w:pPr>
              <w:pStyle w:val="TableParagraph"/>
              <w:spacing w:before="27"/>
              <w:ind w:left="127"/>
              <w:rPr>
                <w:sz w:val="23"/>
              </w:rPr>
            </w:pPr>
            <w:r>
              <w:rPr>
                <w:color w:val="828282"/>
                <w:spacing w:val="-2"/>
                <w:w w:val="105"/>
                <w:sz w:val="23"/>
              </w:rPr>
              <w:t xml:space="preserve"> </w:t>
            </w:r>
            <w:r>
              <w:rPr>
                <w:rFonts w:ascii="Helvetica" w:hAnsi="Helvetica" w:cs="Helvetica"/>
                <w:color w:val="1B1B1B"/>
                <w:sz w:val="25"/>
                <w:szCs w:val="25"/>
              </w:rPr>
              <w:t>$41,960</w:t>
            </w:r>
          </w:p>
          <w:p w14:paraId="3FB4243C" w14:textId="018F6E40" w:rsidR="005053F5" w:rsidRDefault="005053F5">
            <w:pPr>
              <w:pStyle w:val="TableParagraph"/>
              <w:spacing w:before="27"/>
              <w:ind w:left="127"/>
              <w:rPr>
                <w:sz w:val="23"/>
              </w:rPr>
            </w:pPr>
          </w:p>
        </w:tc>
        <w:tc>
          <w:tcPr>
            <w:tcW w:w="2620" w:type="dxa"/>
            <w:tcBorders>
              <w:right w:val="single" w:sz="4" w:space="0" w:color="000000"/>
            </w:tcBorders>
          </w:tcPr>
          <w:p w14:paraId="7CDEF6DF" w14:textId="1CBD8CB5" w:rsidR="005053F5" w:rsidRDefault="006C6DDC">
            <w:pPr>
              <w:pStyle w:val="TableParagraph"/>
              <w:spacing w:before="27"/>
              <w:ind w:left="127"/>
              <w:rPr>
                <w:sz w:val="23"/>
              </w:rPr>
            </w:pPr>
            <w:r>
              <w:rPr>
                <w:color w:val="828282"/>
                <w:spacing w:val="-2"/>
                <w:w w:val="105"/>
                <w:sz w:val="23"/>
              </w:rPr>
              <w:t>$71,160</w:t>
            </w:r>
            <w:r w:rsidR="00451352">
              <w:rPr>
                <w:color w:val="828282"/>
                <w:spacing w:val="-2"/>
                <w:w w:val="105"/>
                <w:sz w:val="23"/>
              </w:rPr>
              <w:t xml:space="preserve"> $83,920</w:t>
            </w:r>
          </w:p>
        </w:tc>
        <w:tc>
          <w:tcPr>
            <w:tcW w:w="3039" w:type="dxa"/>
            <w:tcBorders>
              <w:left w:val="single" w:sz="4" w:space="0" w:color="000000"/>
              <w:right w:val="single" w:sz="4" w:space="0" w:color="000000"/>
            </w:tcBorders>
          </w:tcPr>
          <w:p w14:paraId="10B1CA7E" w14:textId="71AC5268" w:rsidR="005053F5" w:rsidRDefault="006C6DDC">
            <w:pPr>
              <w:pStyle w:val="TableParagraph"/>
              <w:spacing w:before="34"/>
              <w:ind w:left="137"/>
              <w:rPr>
                <w:sz w:val="23"/>
              </w:rPr>
            </w:pPr>
            <w:r>
              <w:rPr>
                <w:color w:val="828282"/>
                <w:spacing w:val="-2"/>
                <w:w w:val="105"/>
                <w:sz w:val="23"/>
              </w:rPr>
              <w:t>$142,320</w:t>
            </w:r>
            <w:r w:rsidR="00451352">
              <w:rPr>
                <w:color w:val="828282"/>
                <w:spacing w:val="-2"/>
                <w:w w:val="105"/>
                <w:sz w:val="23"/>
              </w:rPr>
              <w:t xml:space="preserve"> $167,840</w:t>
            </w:r>
          </w:p>
        </w:tc>
      </w:tr>
      <w:tr w:rsidR="005053F5" w14:paraId="7C2823C2" w14:textId="77777777">
        <w:trPr>
          <w:trHeight w:val="272"/>
        </w:trPr>
        <w:tc>
          <w:tcPr>
            <w:tcW w:w="1126" w:type="dxa"/>
          </w:tcPr>
          <w:p w14:paraId="38AF2C33" w14:textId="77777777" w:rsidR="005053F5" w:rsidRDefault="005053F5">
            <w:pPr>
              <w:pStyle w:val="TableParagraph"/>
              <w:rPr>
                <w:sz w:val="20"/>
              </w:rPr>
            </w:pPr>
          </w:p>
        </w:tc>
        <w:tc>
          <w:tcPr>
            <w:tcW w:w="960" w:type="dxa"/>
          </w:tcPr>
          <w:p w14:paraId="333F751F" w14:textId="77777777" w:rsidR="005053F5" w:rsidRDefault="005053F5">
            <w:pPr>
              <w:pStyle w:val="TableParagraph"/>
              <w:rPr>
                <w:sz w:val="20"/>
              </w:rPr>
            </w:pPr>
          </w:p>
        </w:tc>
        <w:tc>
          <w:tcPr>
            <w:tcW w:w="2259" w:type="dxa"/>
          </w:tcPr>
          <w:p w14:paraId="247D02E0" w14:textId="77777777" w:rsidR="005053F5" w:rsidRDefault="005053F5">
            <w:pPr>
              <w:pStyle w:val="TableParagraph"/>
              <w:rPr>
                <w:sz w:val="20"/>
              </w:rPr>
            </w:pPr>
          </w:p>
        </w:tc>
        <w:tc>
          <w:tcPr>
            <w:tcW w:w="2620" w:type="dxa"/>
            <w:tcBorders>
              <w:right w:val="single" w:sz="4" w:space="0" w:color="000000"/>
            </w:tcBorders>
          </w:tcPr>
          <w:p w14:paraId="6AE41254" w14:textId="77777777" w:rsidR="005053F5" w:rsidRDefault="005053F5">
            <w:pPr>
              <w:pStyle w:val="TableParagraph"/>
              <w:rPr>
                <w:sz w:val="20"/>
              </w:rPr>
            </w:pPr>
          </w:p>
        </w:tc>
        <w:tc>
          <w:tcPr>
            <w:tcW w:w="3039" w:type="dxa"/>
            <w:tcBorders>
              <w:left w:val="single" w:sz="4" w:space="0" w:color="000000"/>
              <w:right w:val="single" w:sz="4" w:space="0" w:color="000000"/>
            </w:tcBorders>
          </w:tcPr>
          <w:p w14:paraId="4AA0213E" w14:textId="77777777" w:rsidR="005053F5" w:rsidRDefault="005053F5">
            <w:pPr>
              <w:pStyle w:val="TableParagraph"/>
              <w:rPr>
                <w:sz w:val="20"/>
              </w:rPr>
            </w:pPr>
          </w:p>
        </w:tc>
      </w:tr>
      <w:tr w:rsidR="005053F5" w14:paraId="249161CB" w14:textId="77777777">
        <w:trPr>
          <w:trHeight w:val="323"/>
        </w:trPr>
        <w:tc>
          <w:tcPr>
            <w:tcW w:w="1126" w:type="dxa"/>
          </w:tcPr>
          <w:p w14:paraId="2AF0BA52" w14:textId="77777777" w:rsidR="005053F5" w:rsidRDefault="006C6DDC">
            <w:pPr>
              <w:pStyle w:val="TableParagraph"/>
              <w:spacing w:before="17"/>
              <w:ind w:left="131"/>
              <w:rPr>
                <w:sz w:val="24"/>
              </w:rPr>
            </w:pPr>
            <w:r>
              <w:rPr>
                <w:color w:val="828282"/>
                <w:spacing w:val="-10"/>
                <w:w w:val="105"/>
                <w:sz w:val="24"/>
              </w:rPr>
              <w:t>7</w:t>
            </w:r>
          </w:p>
        </w:tc>
        <w:tc>
          <w:tcPr>
            <w:tcW w:w="960" w:type="dxa"/>
          </w:tcPr>
          <w:p w14:paraId="7028A48B" w14:textId="768E0F99" w:rsidR="005053F5" w:rsidRDefault="00EC3991">
            <w:pPr>
              <w:pStyle w:val="TableParagraph"/>
              <w:spacing w:before="27"/>
              <w:ind w:left="66"/>
              <w:jc w:val="center"/>
              <w:rPr>
                <w:sz w:val="23"/>
              </w:rPr>
            </w:pPr>
            <w:r w:rsidRPr="00141F6A">
              <w:rPr>
                <w:color w:val="828282"/>
                <w:spacing w:val="-2"/>
                <w:sz w:val="23"/>
                <w:lang w:val="es-ES"/>
              </w:rPr>
              <w:t>Anual</w:t>
            </w:r>
          </w:p>
        </w:tc>
        <w:tc>
          <w:tcPr>
            <w:tcW w:w="2259" w:type="dxa"/>
          </w:tcPr>
          <w:p w14:paraId="623D50A5" w14:textId="3CD80532" w:rsidR="005053F5" w:rsidRDefault="000A4600">
            <w:pPr>
              <w:pStyle w:val="TableParagraph"/>
              <w:spacing w:before="19"/>
              <w:ind w:left="127"/>
              <w:rPr>
                <w:sz w:val="23"/>
              </w:rPr>
            </w:pPr>
            <w:r>
              <w:rPr>
                <w:color w:val="828282"/>
                <w:spacing w:val="-2"/>
                <w:w w:val="105"/>
                <w:sz w:val="23"/>
              </w:rPr>
              <w:t xml:space="preserve"> </w:t>
            </w:r>
            <w:r>
              <w:rPr>
                <w:rFonts w:ascii="Helvetica" w:hAnsi="Helvetica" w:cs="Helvetica"/>
                <w:color w:val="1B1B1B"/>
                <w:sz w:val="25"/>
                <w:szCs w:val="25"/>
                <w:shd w:val="clear" w:color="auto" w:fill="FFFFFF"/>
              </w:rPr>
              <w:t>$47,340</w:t>
            </w:r>
          </w:p>
        </w:tc>
        <w:tc>
          <w:tcPr>
            <w:tcW w:w="2620" w:type="dxa"/>
            <w:tcBorders>
              <w:right w:val="single" w:sz="4" w:space="0" w:color="000000"/>
            </w:tcBorders>
          </w:tcPr>
          <w:p w14:paraId="654BB65C" w14:textId="27DA98EB" w:rsidR="005053F5" w:rsidRDefault="006C6DDC">
            <w:pPr>
              <w:pStyle w:val="TableParagraph"/>
              <w:spacing w:before="27"/>
              <w:ind w:left="127"/>
              <w:rPr>
                <w:sz w:val="23"/>
              </w:rPr>
            </w:pPr>
            <w:r>
              <w:rPr>
                <w:color w:val="828282"/>
                <w:spacing w:val="-2"/>
                <w:w w:val="105"/>
                <w:sz w:val="23"/>
              </w:rPr>
              <w:t>$80,240</w:t>
            </w:r>
            <w:r w:rsidR="00451352">
              <w:rPr>
                <w:color w:val="828282"/>
                <w:spacing w:val="-2"/>
                <w:w w:val="105"/>
                <w:sz w:val="23"/>
              </w:rPr>
              <w:t xml:space="preserve"> $94,680</w:t>
            </w:r>
          </w:p>
        </w:tc>
        <w:tc>
          <w:tcPr>
            <w:tcW w:w="3039" w:type="dxa"/>
            <w:tcBorders>
              <w:left w:val="single" w:sz="4" w:space="0" w:color="000000"/>
              <w:right w:val="single" w:sz="4" w:space="0" w:color="000000"/>
            </w:tcBorders>
          </w:tcPr>
          <w:p w14:paraId="249FE142" w14:textId="0DF102D2" w:rsidR="005053F5" w:rsidRDefault="006C6DDC">
            <w:pPr>
              <w:pStyle w:val="TableParagraph"/>
              <w:spacing w:before="27"/>
              <w:ind w:left="137"/>
              <w:rPr>
                <w:sz w:val="23"/>
              </w:rPr>
            </w:pPr>
            <w:r>
              <w:rPr>
                <w:color w:val="828282"/>
                <w:spacing w:val="-2"/>
                <w:w w:val="105"/>
                <w:sz w:val="23"/>
              </w:rPr>
              <w:t>$160,480</w:t>
            </w:r>
            <w:r w:rsidR="00451352">
              <w:rPr>
                <w:color w:val="828282"/>
                <w:spacing w:val="-2"/>
                <w:w w:val="105"/>
                <w:sz w:val="23"/>
              </w:rPr>
              <w:t xml:space="preserve"> $189,360</w:t>
            </w:r>
          </w:p>
        </w:tc>
      </w:tr>
      <w:tr w:rsidR="005053F5" w14:paraId="3AA63303" w14:textId="77777777">
        <w:trPr>
          <w:trHeight w:val="280"/>
        </w:trPr>
        <w:tc>
          <w:tcPr>
            <w:tcW w:w="1126" w:type="dxa"/>
          </w:tcPr>
          <w:p w14:paraId="786160CA" w14:textId="77777777" w:rsidR="005053F5" w:rsidRDefault="005053F5">
            <w:pPr>
              <w:pStyle w:val="TableParagraph"/>
              <w:rPr>
                <w:sz w:val="20"/>
              </w:rPr>
            </w:pPr>
          </w:p>
        </w:tc>
        <w:tc>
          <w:tcPr>
            <w:tcW w:w="960" w:type="dxa"/>
          </w:tcPr>
          <w:p w14:paraId="4ACB207D" w14:textId="77777777" w:rsidR="005053F5" w:rsidRDefault="005053F5">
            <w:pPr>
              <w:pStyle w:val="TableParagraph"/>
              <w:rPr>
                <w:sz w:val="20"/>
              </w:rPr>
            </w:pPr>
          </w:p>
        </w:tc>
        <w:tc>
          <w:tcPr>
            <w:tcW w:w="2259" w:type="dxa"/>
          </w:tcPr>
          <w:p w14:paraId="6DAA4608" w14:textId="77777777" w:rsidR="005053F5" w:rsidRDefault="005053F5">
            <w:pPr>
              <w:pStyle w:val="TableParagraph"/>
              <w:rPr>
                <w:sz w:val="20"/>
              </w:rPr>
            </w:pPr>
          </w:p>
        </w:tc>
        <w:tc>
          <w:tcPr>
            <w:tcW w:w="2620" w:type="dxa"/>
            <w:tcBorders>
              <w:right w:val="single" w:sz="4" w:space="0" w:color="000000"/>
            </w:tcBorders>
          </w:tcPr>
          <w:p w14:paraId="384D8CF4" w14:textId="77777777" w:rsidR="005053F5" w:rsidRDefault="005053F5">
            <w:pPr>
              <w:pStyle w:val="TableParagraph"/>
              <w:rPr>
                <w:sz w:val="20"/>
              </w:rPr>
            </w:pPr>
          </w:p>
        </w:tc>
        <w:tc>
          <w:tcPr>
            <w:tcW w:w="3039" w:type="dxa"/>
            <w:tcBorders>
              <w:left w:val="single" w:sz="4" w:space="0" w:color="000000"/>
              <w:right w:val="single" w:sz="4" w:space="0" w:color="000000"/>
            </w:tcBorders>
          </w:tcPr>
          <w:p w14:paraId="122543C9" w14:textId="77777777" w:rsidR="005053F5" w:rsidRDefault="005053F5">
            <w:pPr>
              <w:pStyle w:val="TableParagraph"/>
              <w:rPr>
                <w:sz w:val="20"/>
              </w:rPr>
            </w:pPr>
          </w:p>
        </w:tc>
      </w:tr>
      <w:tr w:rsidR="005053F5" w14:paraId="3A0A9957" w14:textId="77777777">
        <w:trPr>
          <w:trHeight w:val="323"/>
        </w:trPr>
        <w:tc>
          <w:tcPr>
            <w:tcW w:w="1126" w:type="dxa"/>
          </w:tcPr>
          <w:p w14:paraId="14FFCE63" w14:textId="77777777" w:rsidR="005053F5" w:rsidRDefault="006C6DDC">
            <w:pPr>
              <w:pStyle w:val="TableParagraph"/>
              <w:spacing w:before="19"/>
              <w:ind w:left="126"/>
              <w:rPr>
                <w:sz w:val="23"/>
              </w:rPr>
            </w:pPr>
            <w:r>
              <w:rPr>
                <w:color w:val="979797"/>
                <w:spacing w:val="-10"/>
                <w:w w:val="105"/>
                <w:sz w:val="23"/>
              </w:rPr>
              <w:t>8</w:t>
            </w:r>
          </w:p>
        </w:tc>
        <w:tc>
          <w:tcPr>
            <w:tcW w:w="960" w:type="dxa"/>
          </w:tcPr>
          <w:p w14:paraId="349D6CB4" w14:textId="2664CFCC" w:rsidR="005053F5" w:rsidRDefault="00EC3991">
            <w:pPr>
              <w:pStyle w:val="TableParagraph"/>
              <w:spacing w:before="19"/>
              <w:ind w:left="66"/>
              <w:jc w:val="center"/>
              <w:rPr>
                <w:sz w:val="23"/>
              </w:rPr>
            </w:pPr>
            <w:r w:rsidRPr="00141F6A">
              <w:rPr>
                <w:color w:val="828282"/>
                <w:spacing w:val="-2"/>
                <w:sz w:val="23"/>
                <w:lang w:val="es-ES"/>
              </w:rPr>
              <w:t>Anual</w:t>
            </w:r>
          </w:p>
        </w:tc>
        <w:tc>
          <w:tcPr>
            <w:tcW w:w="2259" w:type="dxa"/>
          </w:tcPr>
          <w:p w14:paraId="08D7F192" w14:textId="464C15BF" w:rsidR="000A4600" w:rsidRPr="00291512" w:rsidRDefault="000A4600" w:rsidP="00291512">
            <w:pPr>
              <w:pStyle w:val="TableParagraph"/>
              <w:spacing w:before="19"/>
              <w:ind w:left="127"/>
              <w:rPr>
                <w:sz w:val="23"/>
              </w:rPr>
            </w:pPr>
            <w:r>
              <w:rPr>
                <w:color w:val="828282"/>
                <w:spacing w:val="-2"/>
                <w:w w:val="105"/>
                <w:sz w:val="23"/>
              </w:rPr>
              <w:t xml:space="preserve"> </w:t>
            </w:r>
            <w:r>
              <w:rPr>
                <w:rFonts w:ascii="Helvetica" w:hAnsi="Helvetica" w:cs="Helvetica"/>
                <w:color w:val="1B1B1B"/>
                <w:sz w:val="25"/>
                <w:szCs w:val="25"/>
              </w:rPr>
              <w:t>$52,720</w:t>
            </w:r>
          </w:p>
          <w:p w14:paraId="16600CD6" w14:textId="53755848" w:rsidR="005053F5" w:rsidRDefault="005053F5">
            <w:pPr>
              <w:pStyle w:val="TableParagraph"/>
              <w:spacing w:before="19"/>
              <w:ind w:left="127"/>
              <w:rPr>
                <w:sz w:val="23"/>
              </w:rPr>
            </w:pPr>
          </w:p>
        </w:tc>
        <w:tc>
          <w:tcPr>
            <w:tcW w:w="2620" w:type="dxa"/>
            <w:tcBorders>
              <w:right w:val="single" w:sz="4" w:space="0" w:color="000000"/>
            </w:tcBorders>
          </w:tcPr>
          <w:p w14:paraId="7DD9203E" w14:textId="5720CEC3" w:rsidR="005053F5" w:rsidRDefault="006C6DDC">
            <w:pPr>
              <w:pStyle w:val="TableParagraph"/>
              <w:spacing w:before="19"/>
              <w:ind w:left="127"/>
              <w:rPr>
                <w:sz w:val="23"/>
              </w:rPr>
            </w:pPr>
            <w:r>
              <w:rPr>
                <w:color w:val="828282"/>
                <w:spacing w:val="-2"/>
                <w:w w:val="105"/>
                <w:sz w:val="23"/>
              </w:rPr>
              <w:t>$89,320</w:t>
            </w:r>
            <w:r w:rsidR="00534F83">
              <w:rPr>
                <w:color w:val="828282"/>
                <w:spacing w:val="-2"/>
                <w:w w:val="105"/>
                <w:sz w:val="23"/>
              </w:rPr>
              <w:t xml:space="preserve"> $105,440</w:t>
            </w:r>
          </w:p>
        </w:tc>
        <w:tc>
          <w:tcPr>
            <w:tcW w:w="3039" w:type="dxa"/>
            <w:tcBorders>
              <w:left w:val="single" w:sz="4" w:space="0" w:color="000000"/>
              <w:right w:val="single" w:sz="4" w:space="0" w:color="000000"/>
            </w:tcBorders>
          </w:tcPr>
          <w:p w14:paraId="0DB6D4B3" w14:textId="121A78E2" w:rsidR="005053F5" w:rsidRDefault="006C6DDC">
            <w:pPr>
              <w:pStyle w:val="TableParagraph"/>
              <w:spacing w:before="19"/>
              <w:ind w:left="144"/>
              <w:rPr>
                <w:sz w:val="23"/>
              </w:rPr>
            </w:pPr>
            <w:r>
              <w:rPr>
                <w:color w:val="979797"/>
                <w:spacing w:val="-2"/>
                <w:w w:val="105"/>
                <w:sz w:val="23"/>
              </w:rPr>
              <w:t>$178,640</w:t>
            </w:r>
            <w:r w:rsidR="00534F83">
              <w:rPr>
                <w:color w:val="979797"/>
                <w:spacing w:val="-2"/>
                <w:w w:val="105"/>
                <w:sz w:val="23"/>
              </w:rPr>
              <w:t xml:space="preserve"> $210,880</w:t>
            </w:r>
          </w:p>
        </w:tc>
      </w:tr>
    </w:tbl>
    <w:p w14:paraId="43A96EEE" w14:textId="77777777" w:rsidR="005053F5" w:rsidRDefault="005053F5">
      <w:pPr>
        <w:pStyle w:val="BodyText"/>
        <w:spacing w:before="19"/>
      </w:pPr>
    </w:p>
    <w:p w14:paraId="47FD0EF6" w14:textId="77777777" w:rsidR="00EC3991" w:rsidRPr="00EC3991" w:rsidRDefault="00EC3991" w:rsidP="00EC3991">
      <w:pPr>
        <w:spacing w:before="1"/>
        <w:ind w:left="132"/>
        <w:rPr>
          <w:b/>
          <w:color w:val="979797"/>
          <w:w w:val="105"/>
          <w:sz w:val="23"/>
        </w:rPr>
      </w:pPr>
    </w:p>
    <w:p w14:paraId="56116F82" w14:textId="5233D227" w:rsidR="005053F5" w:rsidRPr="00EC3991" w:rsidRDefault="00EC3991" w:rsidP="00EC3991">
      <w:pPr>
        <w:spacing w:before="1"/>
        <w:ind w:left="132"/>
        <w:rPr>
          <w:b/>
          <w:sz w:val="23"/>
          <w:lang w:val="es-MX"/>
        </w:rPr>
      </w:pPr>
      <w:r w:rsidRPr="00EC3991">
        <w:rPr>
          <w:b/>
          <w:color w:val="979797"/>
          <w:w w:val="105"/>
          <w:sz w:val="23"/>
          <w:lang w:val="es-MX"/>
        </w:rPr>
        <w:t>*Por cada miembro adicional de la familia agregue $5,380 de ingreso anual.</w:t>
      </w:r>
    </w:p>
    <w:sectPr w:rsidR="005053F5" w:rsidRPr="00EC3991">
      <w:headerReference w:type="default" r:id="rId9"/>
      <w:pgSz w:w="12240" w:h="15840"/>
      <w:pgMar w:top="920" w:right="3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7186" w14:textId="77777777" w:rsidR="004C0B26" w:rsidRDefault="004C0B26" w:rsidP="00291512">
      <w:r>
        <w:separator/>
      </w:r>
    </w:p>
  </w:endnote>
  <w:endnote w:type="continuationSeparator" w:id="0">
    <w:p w14:paraId="2146FF9A" w14:textId="77777777" w:rsidR="004C0B26" w:rsidRDefault="004C0B26" w:rsidP="0029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074A8" w14:textId="77777777" w:rsidR="004C0B26" w:rsidRDefault="004C0B26" w:rsidP="00291512">
      <w:r>
        <w:separator/>
      </w:r>
    </w:p>
  </w:footnote>
  <w:footnote w:type="continuationSeparator" w:id="0">
    <w:p w14:paraId="5AB18302" w14:textId="77777777" w:rsidR="004C0B26" w:rsidRDefault="004C0B26" w:rsidP="0029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F1CCA" w14:textId="0CCA3F21" w:rsidR="00291512" w:rsidRDefault="002431AE">
    <w:pPr>
      <w:pStyle w:val="Header"/>
    </w:pPr>
    <w:proofErr w:type="spellStart"/>
    <w:r>
      <w:t>Fecha</w:t>
    </w:r>
    <w:proofErr w:type="spellEnd"/>
    <w:r>
      <w:t xml:space="preserve"> </w:t>
    </w:r>
    <w:proofErr w:type="spellStart"/>
    <w:r>
      <w:t>efectiva</w:t>
    </w:r>
    <w:proofErr w:type="spellEnd"/>
    <w:r>
      <w:t>: 01/01/2024</w:t>
    </w:r>
    <w:r w:rsidR="002915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7BD4"/>
    <w:multiLevelType w:val="hybridMultilevel"/>
    <w:tmpl w:val="8AF8F5D8"/>
    <w:lvl w:ilvl="0" w:tplc="FC68C292">
      <w:start w:val="1"/>
      <w:numFmt w:val="decimal"/>
      <w:lvlText w:val="%1."/>
      <w:lvlJc w:val="left"/>
      <w:pPr>
        <w:ind w:left="830" w:hanging="345"/>
      </w:pPr>
      <w:rPr>
        <w:rFonts w:hint="default"/>
        <w:spacing w:val="0"/>
        <w:w w:val="109"/>
        <w:lang w:val="en-US" w:eastAsia="en-US" w:bidi="ar-SA"/>
      </w:rPr>
    </w:lvl>
    <w:lvl w:ilvl="1" w:tplc="08FAA634">
      <w:numFmt w:val="bullet"/>
      <w:lvlText w:val="•"/>
      <w:lvlJc w:val="left"/>
      <w:pPr>
        <w:ind w:left="1880" w:hanging="345"/>
      </w:pPr>
      <w:rPr>
        <w:rFonts w:hint="default"/>
        <w:lang w:val="en-US" w:eastAsia="en-US" w:bidi="ar-SA"/>
      </w:rPr>
    </w:lvl>
    <w:lvl w:ilvl="2" w:tplc="A9A82B9A">
      <w:numFmt w:val="bullet"/>
      <w:lvlText w:val="•"/>
      <w:lvlJc w:val="left"/>
      <w:pPr>
        <w:ind w:left="2920" w:hanging="345"/>
      </w:pPr>
      <w:rPr>
        <w:rFonts w:hint="default"/>
        <w:lang w:val="en-US" w:eastAsia="en-US" w:bidi="ar-SA"/>
      </w:rPr>
    </w:lvl>
    <w:lvl w:ilvl="3" w:tplc="31E478DC">
      <w:numFmt w:val="bullet"/>
      <w:lvlText w:val="•"/>
      <w:lvlJc w:val="left"/>
      <w:pPr>
        <w:ind w:left="3960" w:hanging="345"/>
      </w:pPr>
      <w:rPr>
        <w:rFonts w:hint="default"/>
        <w:lang w:val="en-US" w:eastAsia="en-US" w:bidi="ar-SA"/>
      </w:rPr>
    </w:lvl>
    <w:lvl w:ilvl="4" w:tplc="25AEE5A4">
      <w:numFmt w:val="bullet"/>
      <w:lvlText w:val="•"/>
      <w:lvlJc w:val="left"/>
      <w:pPr>
        <w:ind w:left="5000" w:hanging="345"/>
      </w:pPr>
      <w:rPr>
        <w:rFonts w:hint="default"/>
        <w:lang w:val="en-US" w:eastAsia="en-US" w:bidi="ar-SA"/>
      </w:rPr>
    </w:lvl>
    <w:lvl w:ilvl="5" w:tplc="84E008E2">
      <w:numFmt w:val="bullet"/>
      <w:lvlText w:val="•"/>
      <w:lvlJc w:val="left"/>
      <w:pPr>
        <w:ind w:left="6040" w:hanging="345"/>
      </w:pPr>
      <w:rPr>
        <w:rFonts w:hint="default"/>
        <w:lang w:val="en-US" w:eastAsia="en-US" w:bidi="ar-SA"/>
      </w:rPr>
    </w:lvl>
    <w:lvl w:ilvl="6" w:tplc="350690E8">
      <w:numFmt w:val="bullet"/>
      <w:lvlText w:val="•"/>
      <w:lvlJc w:val="left"/>
      <w:pPr>
        <w:ind w:left="7080" w:hanging="345"/>
      </w:pPr>
      <w:rPr>
        <w:rFonts w:hint="default"/>
        <w:lang w:val="en-US" w:eastAsia="en-US" w:bidi="ar-SA"/>
      </w:rPr>
    </w:lvl>
    <w:lvl w:ilvl="7" w:tplc="B6BE1D8A">
      <w:numFmt w:val="bullet"/>
      <w:lvlText w:val="•"/>
      <w:lvlJc w:val="left"/>
      <w:pPr>
        <w:ind w:left="8120" w:hanging="345"/>
      </w:pPr>
      <w:rPr>
        <w:rFonts w:hint="default"/>
        <w:lang w:val="en-US" w:eastAsia="en-US" w:bidi="ar-SA"/>
      </w:rPr>
    </w:lvl>
    <w:lvl w:ilvl="8" w:tplc="76BC7858">
      <w:numFmt w:val="bullet"/>
      <w:lvlText w:val="•"/>
      <w:lvlJc w:val="left"/>
      <w:pPr>
        <w:ind w:left="9160" w:hanging="345"/>
      </w:pPr>
      <w:rPr>
        <w:rFonts w:hint="default"/>
        <w:lang w:val="en-US" w:eastAsia="en-US" w:bidi="ar-SA"/>
      </w:rPr>
    </w:lvl>
  </w:abstractNum>
  <w:abstractNum w:abstractNumId="1" w15:restartNumberingAfterBreak="0">
    <w:nsid w:val="017063C9"/>
    <w:multiLevelType w:val="hybridMultilevel"/>
    <w:tmpl w:val="DC9287C2"/>
    <w:lvl w:ilvl="0" w:tplc="8B548260">
      <w:start w:val="1"/>
      <w:numFmt w:val="decimal"/>
      <w:lvlText w:val="%1."/>
      <w:lvlJc w:val="left"/>
      <w:pPr>
        <w:ind w:left="845" w:hanging="344"/>
      </w:pPr>
      <w:rPr>
        <w:rFonts w:hint="default"/>
        <w:spacing w:val="0"/>
        <w:w w:val="104"/>
        <w:lang w:val="en-US" w:eastAsia="en-US" w:bidi="ar-SA"/>
      </w:rPr>
    </w:lvl>
    <w:lvl w:ilvl="1" w:tplc="0706D2AE">
      <w:numFmt w:val="bullet"/>
      <w:lvlText w:val="•"/>
      <w:lvlJc w:val="left"/>
      <w:pPr>
        <w:ind w:left="1880" w:hanging="344"/>
      </w:pPr>
      <w:rPr>
        <w:rFonts w:hint="default"/>
        <w:lang w:val="en-US" w:eastAsia="en-US" w:bidi="ar-SA"/>
      </w:rPr>
    </w:lvl>
    <w:lvl w:ilvl="2" w:tplc="1DD61B14">
      <w:numFmt w:val="bullet"/>
      <w:lvlText w:val="•"/>
      <w:lvlJc w:val="left"/>
      <w:pPr>
        <w:ind w:left="2920" w:hanging="344"/>
      </w:pPr>
      <w:rPr>
        <w:rFonts w:hint="default"/>
        <w:lang w:val="en-US" w:eastAsia="en-US" w:bidi="ar-SA"/>
      </w:rPr>
    </w:lvl>
    <w:lvl w:ilvl="3" w:tplc="43440408">
      <w:numFmt w:val="bullet"/>
      <w:lvlText w:val="•"/>
      <w:lvlJc w:val="left"/>
      <w:pPr>
        <w:ind w:left="3960" w:hanging="344"/>
      </w:pPr>
      <w:rPr>
        <w:rFonts w:hint="default"/>
        <w:lang w:val="en-US" w:eastAsia="en-US" w:bidi="ar-SA"/>
      </w:rPr>
    </w:lvl>
    <w:lvl w:ilvl="4" w:tplc="F39E77C6">
      <w:numFmt w:val="bullet"/>
      <w:lvlText w:val="•"/>
      <w:lvlJc w:val="left"/>
      <w:pPr>
        <w:ind w:left="5000" w:hanging="344"/>
      </w:pPr>
      <w:rPr>
        <w:rFonts w:hint="default"/>
        <w:lang w:val="en-US" w:eastAsia="en-US" w:bidi="ar-SA"/>
      </w:rPr>
    </w:lvl>
    <w:lvl w:ilvl="5" w:tplc="5DC84870">
      <w:numFmt w:val="bullet"/>
      <w:lvlText w:val="•"/>
      <w:lvlJc w:val="left"/>
      <w:pPr>
        <w:ind w:left="6040" w:hanging="344"/>
      </w:pPr>
      <w:rPr>
        <w:rFonts w:hint="default"/>
        <w:lang w:val="en-US" w:eastAsia="en-US" w:bidi="ar-SA"/>
      </w:rPr>
    </w:lvl>
    <w:lvl w:ilvl="6" w:tplc="7366B262">
      <w:numFmt w:val="bullet"/>
      <w:lvlText w:val="•"/>
      <w:lvlJc w:val="left"/>
      <w:pPr>
        <w:ind w:left="7080" w:hanging="344"/>
      </w:pPr>
      <w:rPr>
        <w:rFonts w:hint="default"/>
        <w:lang w:val="en-US" w:eastAsia="en-US" w:bidi="ar-SA"/>
      </w:rPr>
    </w:lvl>
    <w:lvl w:ilvl="7" w:tplc="E1A4E150">
      <w:numFmt w:val="bullet"/>
      <w:lvlText w:val="•"/>
      <w:lvlJc w:val="left"/>
      <w:pPr>
        <w:ind w:left="8120" w:hanging="344"/>
      </w:pPr>
      <w:rPr>
        <w:rFonts w:hint="default"/>
        <w:lang w:val="en-US" w:eastAsia="en-US" w:bidi="ar-SA"/>
      </w:rPr>
    </w:lvl>
    <w:lvl w:ilvl="8" w:tplc="43686398">
      <w:numFmt w:val="bullet"/>
      <w:lvlText w:val="•"/>
      <w:lvlJc w:val="left"/>
      <w:pPr>
        <w:ind w:left="9160" w:hanging="344"/>
      </w:pPr>
      <w:rPr>
        <w:rFonts w:hint="default"/>
        <w:lang w:val="en-US" w:eastAsia="en-US" w:bidi="ar-SA"/>
      </w:rPr>
    </w:lvl>
  </w:abstractNum>
  <w:abstractNum w:abstractNumId="2" w15:restartNumberingAfterBreak="0">
    <w:nsid w:val="23553CFF"/>
    <w:multiLevelType w:val="hybridMultilevel"/>
    <w:tmpl w:val="82543E8A"/>
    <w:lvl w:ilvl="0" w:tplc="86423602">
      <w:numFmt w:val="bullet"/>
      <w:lvlText w:val="•"/>
      <w:lvlJc w:val="left"/>
      <w:pPr>
        <w:ind w:left="490" w:hanging="368"/>
      </w:pPr>
      <w:rPr>
        <w:rFonts w:ascii="Arial" w:eastAsia="Arial" w:hAnsi="Arial" w:cs="Arial" w:hint="default"/>
        <w:spacing w:val="0"/>
        <w:w w:val="110"/>
        <w:lang w:val="en-US" w:eastAsia="en-US" w:bidi="ar-SA"/>
      </w:rPr>
    </w:lvl>
    <w:lvl w:ilvl="1" w:tplc="339AFDF4">
      <w:numFmt w:val="bullet"/>
      <w:lvlText w:val="•"/>
      <w:lvlJc w:val="left"/>
      <w:pPr>
        <w:ind w:left="1574" w:hanging="368"/>
      </w:pPr>
      <w:rPr>
        <w:rFonts w:hint="default"/>
        <w:lang w:val="en-US" w:eastAsia="en-US" w:bidi="ar-SA"/>
      </w:rPr>
    </w:lvl>
    <w:lvl w:ilvl="2" w:tplc="FF3411A2">
      <w:numFmt w:val="bullet"/>
      <w:lvlText w:val="•"/>
      <w:lvlJc w:val="left"/>
      <w:pPr>
        <w:ind w:left="2648" w:hanging="368"/>
      </w:pPr>
      <w:rPr>
        <w:rFonts w:hint="default"/>
        <w:lang w:val="en-US" w:eastAsia="en-US" w:bidi="ar-SA"/>
      </w:rPr>
    </w:lvl>
    <w:lvl w:ilvl="3" w:tplc="E730E1C8">
      <w:numFmt w:val="bullet"/>
      <w:lvlText w:val="•"/>
      <w:lvlJc w:val="left"/>
      <w:pPr>
        <w:ind w:left="3722" w:hanging="368"/>
      </w:pPr>
      <w:rPr>
        <w:rFonts w:hint="default"/>
        <w:lang w:val="en-US" w:eastAsia="en-US" w:bidi="ar-SA"/>
      </w:rPr>
    </w:lvl>
    <w:lvl w:ilvl="4" w:tplc="75048C16">
      <w:numFmt w:val="bullet"/>
      <w:lvlText w:val="•"/>
      <w:lvlJc w:val="left"/>
      <w:pPr>
        <w:ind w:left="4796" w:hanging="368"/>
      </w:pPr>
      <w:rPr>
        <w:rFonts w:hint="default"/>
        <w:lang w:val="en-US" w:eastAsia="en-US" w:bidi="ar-SA"/>
      </w:rPr>
    </w:lvl>
    <w:lvl w:ilvl="5" w:tplc="98905F7C">
      <w:numFmt w:val="bullet"/>
      <w:lvlText w:val="•"/>
      <w:lvlJc w:val="left"/>
      <w:pPr>
        <w:ind w:left="5870" w:hanging="368"/>
      </w:pPr>
      <w:rPr>
        <w:rFonts w:hint="default"/>
        <w:lang w:val="en-US" w:eastAsia="en-US" w:bidi="ar-SA"/>
      </w:rPr>
    </w:lvl>
    <w:lvl w:ilvl="6" w:tplc="8B26C39A">
      <w:numFmt w:val="bullet"/>
      <w:lvlText w:val="•"/>
      <w:lvlJc w:val="left"/>
      <w:pPr>
        <w:ind w:left="6944" w:hanging="368"/>
      </w:pPr>
      <w:rPr>
        <w:rFonts w:hint="default"/>
        <w:lang w:val="en-US" w:eastAsia="en-US" w:bidi="ar-SA"/>
      </w:rPr>
    </w:lvl>
    <w:lvl w:ilvl="7" w:tplc="872ACFF4">
      <w:numFmt w:val="bullet"/>
      <w:lvlText w:val="•"/>
      <w:lvlJc w:val="left"/>
      <w:pPr>
        <w:ind w:left="8018" w:hanging="368"/>
      </w:pPr>
      <w:rPr>
        <w:rFonts w:hint="default"/>
        <w:lang w:val="en-US" w:eastAsia="en-US" w:bidi="ar-SA"/>
      </w:rPr>
    </w:lvl>
    <w:lvl w:ilvl="8" w:tplc="7EA6077C">
      <w:numFmt w:val="bullet"/>
      <w:lvlText w:val="•"/>
      <w:lvlJc w:val="left"/>
      <w:pPr>
        <w:ind w:left="9092" w:hanging="368"/>
      </w:pPr>
      <w:rPr>
        <w:rFonts w:hint="default"/>
        <w:lang w:val="en-US" w:eastAsia="en-US" w:bidi="ar-SA"/>
      </w:rPr>
    </w:lvl>
  </w:abstractNum>
  <w:abstractNum w:abstractNumId="3" w15:restartNumberingAfterBreak="0">
    <w:nsid w:val="27385A14"/>
    <w:multiLevelType w:val="hybridMultilevel"/>
    <w:tmpl w:val="FCCE27EC"/>
    <w:lvl w:ilvl="0" w:tplc="EDF6870A">
      <w:numFmt w:val="bullet"/>
      <w:lvlText w:val="•"/>
      <w:lvlJc w:val="left"/>
      <w:pPr>
        <w:ind w:left="474" w:hanging="355"/>
      </w:pPr>
      <w:rPr>
        <w:rFonts w:ascii="Times New Roman" w:eastAsia="Times New Roman" w:hAnsi="Times New Roman" w:cs="Times New Roman" w:hint="default"/>
        <w:spacing w:val="0"/>
        <w:w w:val="104"/>
        <w:lang w:val="en-US" w:eastAsia="en-US" w:bidi="ar-SA"/>
      </w:rPr>
    </w:lvl>
    <w:lvl w:ilvl="1" w:tplc="039A9C26">
      <w:start w:val="1"/>
      <w:numFmt w:val="upperRoman"/>
      <w:lvlText w:val="%2."/>
      <w:lvlJc w:val="left"/>
      <w:pPr>
        <w:ind w:left="834" w:hanging="342"/>
      </w:pPr>
      <w:rPr>
        <w:rFonts w:ascii="Arial" w:eastAsia="Arial" w:hAnsi="Arial" w:cs="Arial" w:hint="default"/>
        <w:b w:val="0"/>
        <w:bCs w:val="0"/>
        <w:i w:val="0"/>
        <w:iCs w:val="0"/>
        <w:color w:val="707070"/>
        <w:spacing w:val="-1"/>
        <w:w w:val="105"/>
        <w:sz w:val="22"/>
        <w:szCs w:val="22"/>
        <w:lang w:val="en-US" w:eastAsia="en-US" w:bidi="ar-SA"/>
      </w:rPr>
    </w:lvl>
    <w:lvl w:ilvl="2" w:tplc="062AD6B6">
      <w:numFmt w:val="bullet"/>
      <w:lvlText w:val="•"/>
      <w:lvlJc w:val="left"/>
      <w:pPr>
        <w:ind w:left="1995" w:hanging="342"/>
      </w:pPr>
      <w:rPr>
        <w:rFonts w:hint="default"/>
        <w:lang w:val="en-US" w:eastAsia="en-US" w:bidi="ar-SA"/>
      </w:rPr>
    </w:lvl>
    <w:lvl w:ilvl="3" w:tplc="7E2E405E">
      <w:numFmt w:val="bullet"/>
      <w:lvlText w:val="•"/>
      <w:lvlJc w:val="left"/>
      <w:pPr>
        <w:ind w:left="3151" w:hanging="342"/>
      </w:pPr>
      <w:rPr>
        <w:rFonts w:hint="default"/>
        <w:lang w:val="en-US" w:eastAsia="en-US" w:bidi="ar-SA"/>
      </w:rPr>
    </w:lvl>
    <w:lvl w:ilvl="4" w:tplc="C56AF0CE">
      <w:numFmt w:val="bullet"/>
      <w:lvlText w:val="•"/>
      <w:lvlJc w:val="left"/>
      <w:pPr>
        <w:ind w:left="4306" w:hanging="342"/>
      </w:pPr>
      <w:rPr>
        <w:rFonts w:hint="default"/>
        <w:lang w:val="en-US" w:eastAsia="en-US" w:bidi="ar-SA"/>
      </w:rPr>
    </w:lvl>
    <w:lvl w:ilvl="5" w:tplc="CD5E3C0A">
      <w:numFmt w:val="bullet"/>
      <w:lvlText w:val="•"/>
      <w:lvlJc w:val="left"/>
      <w:pPr>
        <w:ind w:left="5462" w:hanging="342"/>
      </w:pPr>
      <w:rPr>
        <w:rFonts w:hint="default"/>
        <w:lang w:val="en-US" w:eastAsia="en-US" w:bidi="ar-SA"/>
      </w:rPr>
    </w:lvl>
    <w:lvl w:ilvl="6" w:tplc="A8DA5A60">
      <w:numFmt w:val="bullet"/>
      <w:lvlText w:val="•"/>
      <w:lvlJc w:val="left"/>
      <w:pPr>
        <w:ind w:left="6617" w:hanging="342"/>
      </w:pPr>
      <w:rPr>
        <w:rFonts w:hint="default"/>
        <w:lang w:val="en-US" w:eastAsia="en-US" w:bidi="ar-SA"/>
      </w:rPr>
    </w:lvl>
    <w:lvl w:ilvl="7" w:tplc="A2169D12">
      <w:numFmt w:val="bullet"/>
      <w:lvlText w:val="•"/>
      <w:lvlJc w:val="left"/>
      <w:pPr>
        <w:ind w:left="7773" w:hanging="342"/>
      </w:pPr>
      <w:rPr>
        <w:rFonts w:hint="default"/>
        <w:lang w:val="en-US" w:eastAsia="en-US" w:bidi="ar-SA"/>
      </w:rPr>
    </w:lvl>
    <w:lvl w:ilvl="8" w:tplc="4C0A7644">
      <w:numFmt w:val="bullet"/>
      <w:lvlText w:val="•"/>
      <w:lvlJc w:val="left"/>
      <w:pPr>
        <w:ind w:left="8928" w:hanging="342"/>
      </w:pPr>
      <w:rPr>
        <w:rFonts w:hint="default"/>
        <w:lang w:val="en-US" w:eastAsia="en-US" w:bidi="ar-SA"/>
      </w:rPr>
    </w:lvl>
  </w:abstractNum>
  <w:abstractNum w:abstractNumId="4" w15:restartNumberingAfterBreak="0">
    <w:nsid w:val="350C47B2"/>
    <w:multiLevelType w:val="hybridMultilevel"/>
    <w:tmpl w:val="9B4AD2D6"/>
    <w:lvl w:ilvl="0" w:tplc="D6028348">
      <w:start w:val="2"/>
      <w:numFmt w:val="decimal"/>
      <w:lvlText w:val="%1."/>
      <w:lvlJc w:val="left"/>
      <w:pPr>
        <w:ind w:left="840" w:hanging="362"/>
      </w:pPr>
      <w:rPr>
        <w:rFonts w:ascii="Times New Roman" w:eastAsia="Times New Roman" w:hAnsi="Times New Roman" w:cs="Times New Roman" w:hint="default"/>
        <w:b w:val="0"/>
        <w:bCs w:val="0"/>
        <w:i w:val="0"/>
        <w:iCs w:val="0"/>
        <w:color w:val="808080"/>
        <w:spacing w:val="0"/>
        <w:w w:val="107"/>
        <w:sz w:val="23"/>
        <w:szCs w:val="23"/>
        <w:lang w:val="en-US" w:eastAsia="en-US" w:bidi="ar-SA"/>
      </w:rPr>
    </w:lvl>
    <w:lvl w:ilvl="1" w:tplc="0540CA46">
      <w:start w:val="1"/>
      <w:numFmt w:val="lowerLetter"/>
      <w:lvlText w:val="%2."/>
      <w:lvlJc w:val="left"/>
      <w:pPr>
        <w:ind w:left="1206" w:hanging="355"/>
      </w:pPr>
      <w:rPr>
        <w:rFonts w:ascii="Times New Roman" w:eastAsia="Times New Roman" w:hAnsi="Times New Roman" w:cs="Times New Roman" w:hint="default"/>
        <w:b w:val="0"/>
        <w:bCs w:val="0"/>
        <w:i w:val="0"/>
        <w:iCs w:val="0"/>
        <w:color w:val="808080"/>
        <w:spacing w:val="0"/>
        <w:w w:val="105"/>
        <w:sz w:val="23"/>
        <w:szCs w:val="23"/>
        <w:lang w:val="en-US" w:eastAsia="en-US" w:bidi="ar-SA"/>
      </w:rPr>
    </w:lvl>
    <w:lvl w:ilvl="2" w:tplc="8F401CB8">
      <w:numFmt w:val="bullet"/>
      <w:lvlText w:val="•"/>
      <w:lvlJc w:val="left"/>
      <w:pPr>
        <w:ind w:left="2315" w:hanging="355"/>
      </w:pPr>
      <w:rPr>
        <w:rFonts w:hint="default"/>
        <w:lang w:val="en-US" w:eastAsia="en-US" w:bidi="ar-SA"/>
      </w:rPr>
    </w:lvl>
    <w:lvl w:ilvl="3" w:tplc="24589538">
      <w:numFmt w:val="bullet"/>
      <w:lvlText w:val="•"/>
      <w:lvlJc w:val="left"/>
      <w:pPr>
        <w:ind w:left="3431" w:hanging="355"/>
      </w:pPr>
      <w:rPr>
        <w:rFonts w:hint="default"/>
        <w:lang w:val="en-US" w:eastAsia="en-US" w:bidi="ar-SA"/>
      </w:rPr>
    </w:lvl>
    <w:lvl w:ilvl="4" w:tplc="1C60F2E4">
      <w:numFmt w:val="bullet"/>
      <w:lvlText w:val="•"/>
      <w:lvlJc w:val="left"/>
      <w:pPr>
        <w:ind w:left="4546" w:hanging="355"/>
      </w:pPr>
      <w:rPr>
        <w:rFonts w:hint="default"/>
        <w:lang w:val="en-US" w:eastAsia="en-US" w:bidi="ar-SA"/>
      </w:rPr>
    </w:lvl>
    <w:lvl w:ilvl="5" w:tplc="D38EA092">
      <w:numFmt w:val="bullet"/>
      <w:lvlText w:val="•"/>
      <w:lvlJc w:val="left"/>
      <w:pPr>
        <w:ind w:left="5662" w:hanging="355"/>
      </w:pPr>
      <w:rPr>
        <w:rFonts w:hint="default"/>
        <w:lang w:val="en-US" w:eastAsia="en-US" w:bidi="ar-SA"/>
      </w:rPr>
    </w:lvl>
    <w:lvl w:ilvl="6" w:tplc="8376DECA">
      <w:numFmt w:val="bullet"/>
      <w:lvlText w:val="•"/>
      <w:lvlJc w:val="left"/>
      <w:pPr>
        <w:ind w:left="6777" w:hanging="355"/>
      </w:pPr>
      <w:rPr>
        <w:rFonts w:hint="default"/>
        <w:lang w:val="en-US" w:eastAsia="en-US" w:bidi="ar-SA"/>
      </w:rPr>
    </w:lvl>
    <w:lvl w:ilvl="7" w:tplc="82A67B8A">
      <w:numFmt w:val="bullet"/>
      <w:lvlText w:val="•"/>
      <w:lvlJc w:val="left"/>
      <w:pPr>
        <w:ind w:left="7893" w:hanging="355"/>
      </w:pPr>
      <w:rPr>
        <w:rFonts w:hint="default"/>
        <w:lang w:val="en-US" w:eastAsia="en-US" w:bidi="ar-SA"/>
      </w:rPr>
    </w:lvl>
    <w:lvl w:ilvl="8" w:tplc="F8043DE6">
      <w:numFmt w:val="bullet"/>
      <w:lvlText w:val="•"/>
      <w:lvlJc w:val="left"/>
      <w:pPr>
        <w:ind w:left="9008" w:hanging="355"/>
      </w:pPr>
      <w:rPr>
        <w:rFonts w:hint="default"/>
        <w:lang w:val="en-US" w:eastAsia="en-US" w:bidi="ar-SA"/>
      </w:rPr>
    </w:lvl>
  </w:abstractNum>
  <w:abstractNum w:abstractNumId="5" w15:restartNumberingAfterBreak="0">
    <w:nsid w:val="4EFB29E5"/>
    <w:multiLevelType w:val="hybridMultilevel"/>
    <w:tmpl w:val="FE721966"/>
    <w:lvl w:ilvl="0" w:tplc="B9C2DFD2">
      <w:start w:val="1"/>
      <w:numFmt w:val="decimal"/>
      <w:lvlText w:val="%1."/>
      <w:lvlJc w:val="left"/>
      <w:pPr>
        <w:ind w:left="836" w:hanging="366"/>
      </w:pPr>
      <w:rPr>
        <w:rFonts w:hint="default"/>
        <w:spacing w:val="0"/>
        <w:w w:val="99"/>
        <w:lang w:val="en-US" w:eastAsia="en-US" w:bidi="ar-SA"/>
      </w:rPr>
    </w:lvl>
    <w:lvl w:ilvl="1" w:tplc="1FA8D568">
      <w:numFmt w:val="bullet"/>
      <w:lvlText w:val="•"/>
      <w:lvlJc w:val="left"/>
      <w:pPr>
        <w:ind w:left="1880" w:hanging="366"/>
      </w:pPr>
      <w:rPr>
        <w:rFonts w:hint="default"/>
        <w:lang w:val="en-US" w:eastAsia="en-US" w:bidi="ar-SA"/>
      </w:rPr>
    </w:lvl>
    <w:lvl w:ilvl="2" w:tplc="6E3A0EAC">
      <w:numFmt w:val="bullet"/>
      <w:lvlText w:val="•"/>
      <w:lvlJc w:val="left"/>
      <w:pPr>
        <w:ind w:left="2920" w:hanging="366"/>
      </w:pPr>
      <w:rPr>
        <w:rFonts w:hint="default"/>
        <w:lang w:val="en-US" w:eastAsia="en-US" w:bidi="ar-SA"/>
      </w:rPr>
    </w:lvl>
    <w:lvl w:ilvl="3" w:tplc="313C1562">
      <w:numFmt w:val="bullet"/>
      <w:lvlText w:val="•"/>
      <w:lvlJc w:val="left"/>
      <w:pPr>
        <w:ind w:left="3960" w:hanging="366"/>
      </w:pPr>
      <w:rPr>
        <w:rFonts w:hint="default"/>
        <w:lang w:val="en-US" w:eastAsia="en-US" w:bidi="ar-SA"/>
      </w:rPr>
    </w:lvl>
    <w:lvl w:ilvl="4" w:tplc="CF6038C8">
      <w:numFmt w:val="bullet"/>
      <w:lvlText w:val="•"/>
      <w:lvlJc w:val="left"/>
      <w:pPr>
        <w:ind w:left="5000" w:hanging="366"/>
      </w:pPr>
      <w:rPr>
        <w:rFonts w:hint="default"/>
        <w:lang w:val="en-US" w:eastAsia="en-US" w:bidi="ar-SA"/>
      </w:rPr>
    </w:lvl>
    <w:lvl w:ilvl="5" w:tplc="B36259CE">
      <w:numFmt w:val="bullet"/>
      <w:lvlText w:val="•"/>
      <w:lvlJc w:val="left"/>
      <w:pPr>
        <w:ind w:left="6040" w:hanging="366"/>
      </w:pPr>
      <w:rPr>
        <w:rFonts w:hint="default"/>
        <w:lang w:val="en-US" w:eastAsia="en-US" w:bidi="ar-SA"/>
      </w:rPr>
    </w:lvl>
    <w:lvl w:ilvl="6" w:tplc="9BAA6F98">
      <w:numFmt w:val="bullet"/>
      <w:lvlText w:val="•"/>
      <w:lvlJc w:val="left"/>
      <w:pPr>
        <w:ind w:left="7080" w:hanging="366"/>
      </w:pPr>
      <w:rPr>
        <w:rFonts w:hint="default"/>
        <w:lang w:val="en-US" w:eastAsia="en-US" w:bidi="ar-SA"/>
      </w:rPr>
    </w:lvl>
    <w:lvl w:ilvl="7" w:tplc="AF90D8C2">
      <w:numFmt w:val="bullet"/>
      <w:lvlText w:val="•"/>
      <w:lvlJc w:val="left"/>
      <w:pPr>
        <w:ind w:left="8120" w:hanging="366"/>
      </w:pPr>
      <w:rPr>
        <w:rFonts w:hint="default"/>
        <w:lang w:val="en-US" w:eastAsia="en-US" w:bidi="ar-SA"/>
      </w:rPr>
    </w:lvl>
    <w:lvl w:ilvl="8" w:tplc="154A2328">
      <w:numFmt w:val="bullet"/>
      <w:lvlText w:val="•"/>
      <w:lvlJc w:val="left"/>
      <w:pPr>
        <w:ind w:left="9160" w:hanging="366"/>
      </w:pPr>
      <w:rPr>
        <w:rFonts w:hint="default"/>
        <w:lang w:val="en-US" w:eastAsia="en-US" w:bidi="ar-SA"/>
      </w:rPr>
    </w:lvl>
  </w:abstractNum>
  <w:abstractNum w:abstractNumId="6" w15:restartNumberingAfterBreak="0">
    <w:nsid w:val="5009251A"/>
    <w:multiLevelType w:val="hybridMultilevel"/>
    <w:tmpl w:val="41C47982"/>
    <w:lvl w:ilvl="0" w:tplc="D3588A06">
      <w:start w:val="1"/>
      <w:numFmt w:val="upperRoman"/>
      <w:lvlText w:val="%1."/>
      <w:lvlJc w:val="left"/>
      <w:pPr>
        <w:ind w:left="832" w:hanging="332"/>
      </w:pPr>
      <w:rPr>
        <w:rFonts w:ascii="Times New Roman" w:eastAsia="Times New Roman" w:hAnsi="Times New Roman" w:cs="Times New Roman" w:hint="default"/>
        <w:b w:val="0"/>
        <w:bCs w:val="0"/>
        <w:i w:val="0"/>
        <w:iCs w:val="0"/>
        <w:color w:val="777777"/>
        <w:spacing w:val="0"/>
        <w:w w:val="103"/>
        <w:sz w:val="23"/>
        <w:szCs w:val="23"/>
        <w:lang w:val="en-US" w:eastAsia="en-US" w:bidi="ar-SA"/>
      </w:rPr>
    </w:lvl>
    <w:lvl w:ilvl="1" w:tplc="8A60FACC">
      <w:start w:val="1"/>
      <w:numFmt w:val="lowerLetter"/>
      <w:lvlText w:val="%2."/>
      <w:lvlJc w:val="left"/>
      <w:pPr>
        <w:ind w:left="1190" w:hanging="356"/>
      </w:pPr>
      <w:rPr>
        <w:rFonts w:ascii="Times New Roman" w:eastAsia="Times New Roman" w:hAnsi="Times New Roman" w:cs="Times New Roman" w:hint="default"/>
        <w:b w:val="0"/>
        <w:bCs w:val="0"/>
        <w:i w:val="0"/>
        <w:iCs w:val="0"/>
        <w:color w:val="878787"/>
        <w:spacing w:val="0"/>
        <w:w w:val="110"/>
        <w:sz w:val="23"/>
        <w:szCs w:val="23"/>
        <w:lang w:val="en-US" w:eastAsia="en-US" w:bidi="ar-SA"/>
      </w:rPr>
    </w:lvl>
    <w:lvl w:ilvl="2" w:tplc="EF309DEA">
      <w:numFmt w:val="bullet"/>
      <w:lvlText w:val="•"/>
      <w:lvlJc w:val="left"/>
      <w:pPr>
        <w:ind w:left="2315" w:hanging="356"/>
      </w:pPr>
      <w:rPr>
        <w:rFonts w:hint="default"/>
        <w:lang w:val="en-US" w:eastAsia="en-US" w:bidi="ar-SA"/>
      </w:rPr>
    </w:lvl>
    <w:lvl w:ilvl="3" w:tplc="CAF23744">
      <w:numFmt w:val="bullet"/>
      <w:lvlText w:val="•"/>
      <w:lvlJc w:val="left"/>
      <w:pPr>
        <w:ind w:left="3431" w:hanging="356"/>
      </w:pPr>
      <w:rPr>
        <w:rFonts w:hint="default"/>
        <w:lang w:val="en-US" w:eastAsia="en-US" w:bidi="ar-SA"/>
      </w:rPr>
    </w:lvl>
    <w:lvl w:ilvl="4" w:tplc="73E45E10">
      <w:numFmt w:val="bullet"/>
      <w:lvlText w:val="•"/>
      <w:lvlJc w:val="left"/>
      <w:pPr>
        <w:ind w:left="4546" w:hanging="356"/>
      </w:pPr>
      <w:rPr>
        <w:rFonts w:hint="default"/>
        <w:lang w:val="en-US" w:eastAsia="en-US" w:bidi="ar-SA"/>
      </w:rPr>
    </w:lvl>
    <w:lvl w:ilvl="5" w:tplc="0C044A30">
      <w:numFmt w:val="bullet"/>
      <w:lvlText w:val="•"/>
      <w:lvlJc w:val="left"/>
      <w:pPr>
        <w:ind w:left="5662" w:hanging="356"/>
      </w:pPr>
      <w:rPr>
        <w:rFonts w:hint="default"/>
        <w:lang w:val="en-US" w:eastAsia="en-US" w:bidi="ar-SA"/>
      </w:rPr>
    </w:lvl>
    <w:lvl w:ilvl="6" w:tplc="8B5E21E4">
      <w:numFmt w:val="bullet"/>
      <w:lvlText w:val="•"/>
      <w:lvlJc w:val="left"/>
      <w:pPr>
        <w:ind w:left="6777" w:hanging="356"/>
      </w:pPr>
      <w:rPr>
        <w:rFonts w:hint="default"/>
        <w:lang w:val="en-US" w:eastAsia="en-US" w:bidi="ar-SA"/>
      </w:rPr>
    </w:lvl>
    <w:lvl w:ilvl="7" w:tplc="6B8694B6">
      <w:numFmt w:val="bullet"/>
      <w:lvlText w:val="•"/>
      <w:lvlJc w:val="left"/>
      <w:pPr>
        <w:ind w:left="7893" w:hanging="356"/>
      </w:pPr>
      <w:rPr>
        <w:rFonts w:hint="default"/>
        <w:lang w:val="en-US" w:eastAsia="en-US" w:bidi="ar-SA"/>
      </w:rPr>
    </w:lvl>
    <w:lvl w:ilvl="8" w:tplc="B1688B78">
      <w:numFmt w:val="bullet"/>
      <w:lvlText w:val="•"/>
      <w:lvlJc w:val="left"/>
      <w:pPr>
        <w:ind w:left="9008" w:hanging="356"/>
      </w:pPr>
      <w:rPr>
        <w:rFonts w:hint="default"/>
        <w:lang w:val="en-US" w:eastAsia="en-US" w:bidi="ar-SA"/>
      </w:rPr>
    </w:lvl>
  </w:abstractNum>
  <w:abstractNum w:abstractNumId="7" w15:restartNumberingAfterBreak="0">
    <w:nsid w:val="55AE35ED"/>
    <w:multiLevelType w:val="hybridMultilevel"/>
    <w:tmpl w:val="0D6E9DF4"/>
    <w:lvl w:ilvl="0" w:tplc="1048E58A">
      <w:start w:val="2"/>
      <w:numFmt w:val="decimal"/>
      <w:lvlText w:val="%1."/>
      <w:lvlJc w:val="left"/>
      <w:pPr>
        <w:ind w:left="853" w:hanging="360"/>
      </w:pPr>
      <w:rPr>
        <w:rFonts w:hint="default"/>
        <w:spacing w:val="0"/>
        <w:w w:val="103"/>
        <w:lang w:val="en-US" w:eastAsia="en-US" w:bidi="ar-SA"/>
      </w:rPr>
    </w:lvl>
    <w:lvl w:ilvl="1" w:tplc="8D0A52F6">
      <w:numFmt w:val="bullet"/>
      <w:lvlText w:val="•"/>
      <w:lvlJc w:val="left"/>
      <w:pPr>
        <w:ind w:left="1898" w:hanging="360"/>
      </w:pPr>
      <w:rPr>
        <w:rFonts w:hint="default"/>
        <w:lang w:val="en-US" w:eastAsia="en-US" w:bidi="ar-SA"/>
      </w:rPr>
    </w:lvl>
    <w:lvl w:ilvl="2" w:tplc="1E56414C">
      <w:numFmt w:val="bullet"/>
      <w:lvlText w:val="•"/>
      <w:lvlJc w:val="left"/>
      <w:pPr>
        <w:ind w:left="2936" w:hanging="360"/>
      </w:pPr>
      <w:rPr>
        <w:rFonts w:hint="default"/>
        <w:lang w:val="en-US" w:eastAsia="en-US" w:bidi="ar-SA"/>
      </w:rPr>
    </w:lvl>
    <w:lvl w:ilvl="3" w:tplc="4EE28DFE">
      <w:numFmt w:val="bullet"/>
      <w:lvlText w:val="•"/>
      <w:lvlJc w:val="left"/>
      <w:pPr>
        <w:ind w:left="3974" w:hanging="360"/>
      </w:pPr>
      <w:rPr>
        <w:rFonts w:hint="default"/>
        <w:lang w:val="en-US" w:eastAsia="en-US" w:bidi="ar-SA"/>
      </w:rPr>
    </w:lvl>
    <w:lvl w:ilvl="4" w:tplc="EEDABC98">
      <w:numFmt w:val="bullet"/>
      <w:lvlText w:val="•"/>
      <w:lvlJc w:val="left"/>
      <w:pPr>
        <w:ind w:left="5012" w:hanging="360"/>
      </w:pPr>
      <w:rPr>
        <w:rFonts w:hint="default"/>
        <w:lang w:val="en-US" w:eastAsia="en-US" w:bidi="ar-SA"/>
      </w:rPr>
    </w:lvl>
    <w:lvl w:ilvl="5" w:tplc="CE2E46AA">
      <w:numFmt w:val="bullet"/>
      <w:lvlText w:val="•"/>
      <w:lvlJc w:val="left"/>
      <w:pPr>
        <w:ind w:left="6050" w:hanging="360"/>
      </w:pPr>
      <w:rPr>
        <w:rFonts w:hint="default"/>
        <w:lang w:val="en-US" w:eastAsia="en-US" w:bidi="ar-SA"/>
      </w:rPr>
    </w:lvl>
    <w:lvl w:ilvl="6" w:tplc="50202FFE">
      <w:numFmt w:val="bullet"/>
      <w:lvlText w:val="•"/>
      <w:lvlJc w:val="left"/>
      <w:pPr>
        <w:ind w:left="7088" w:hanging="360"/>
      </w:pPr>
      <w:rPr>
        <w:rFonts w:hint="default"/>
        <w:lang w:val="en-US" w:eastAsia="en-US" w:bidi="ar-SA"/>
      </w:rPr>
    </w:lvl>
    <w:lvl w:ilvl="7" w:tplc="9CBC6BBC">
      <w:numFmt w:val="bullet"/>
      <w:lvlText w:val="•"/>
      <w:lvlJc w:val="left"/>
      <w:pPr>
        <w:ind w:left="8126" w:hanging="360"/>
      </w:pPr>
      <w:rPr>
        <w:rFonts w:hint="default"/>
        <w:lang w:val="en-US" w:eastAsia="en-US" w:bidi="ar-SA"/>
      </w:rPr>
    </w:lvl>
    <w:lvl w:ilvl="8" w:tplc="798453AA">
      <w:numFmt w:val="bullet"/>
      <w:lvlText w:val="•"/>
      <w:lvlJc w:val="left"/>
      <w:pPr>
        <w:ind w:left="9164" w:hanging="360"/>
      </w:pPr>
      <w:rPr>
        <w:rFonts w:hint="default"/>
        <w:lang w:val="en-US" w:eastAsia="en-US" w:bidi="ar-SA"/>
      </w:rPr>
    </w:lvl>
  </w:abstractNum>
  <w:abstractNum w:abstractNumId="8" w15:restartNumberingAfterBreak="0">
    <w:nsid w:val="577A18DE"/>
    <w:multiLevelType w:val="hybridMultilevel"/>
    <w:tmpl w:val="833C11EA"/>
    <w:lvl w:ilvl="0" w:tplc="7C843082">
      <w:numFmt w:val="bullet"/>
      <w:lvlText w:val="•"/>
      <w:lvlJc w:val="left"/>
      <w:pPr>
        <w:ind w:left="487" w:hanging="362"/>
      </w:pPr>
      <w:rPr>
        <w:rFonts w:ascii="Times New Roman" w:eastAsia="Times New Roman" w:hAnsi="Times New Roman" w:cs="Times New Roman" w:hint="default"/>
        <w:spacing w:val="0"/>
        <w:w w:val="103"/>
        <w:lang w:val="en-US" w:eastAsia="en-US" w:bidi="ar-SA"/>
      </w:rPr>
    </w:lvl>
    <w:lvl w:ilvl="1" w:tplc="73F01CFE">
      <w:start w:val="1"/>
      <w:numFmt w:val="decimal"/>
      <w:lvlText w:val="%2."/>
      <w:lvlJc w:val="left"/>
      <w:pPr>
        <w:ind w:left="832" w:hanging="347"/>
      </w:pPr>
      <w:rPr>
        <w:rFonts w:hint="default"/>
        <w:spacing w:val="0"/>
        <w:w w:val="104"/>
        <w:lang w:val="en-US" w:eastAsia="en-US" w:bidi="ar-SA"/>
      </w:rPr>
    </w:lvl>
    <w:lvl w:ilvl="2" w:tplc="874CD152">
      <w:numFmt w:val="bullet"/>
      <w:lvlText w:val="•"/>
      <w:lvlJc w:val="left"/>
      <w:pPr>
        <w:ind w:left="1995" w:hanging="347"/>
      </w:pPr>
      <w:rPr>
        <w:rFonts w:hint="default"/>
        <w:lang w:val="en-US" w:eastAsia="en-US" w:bidi="ar-SA"/>
      </w:rPr>
    </w:lvl>
    <w:lvl w:ilvl="3" w:tplc="D7D0E802">
      <w:numFmt w:val="bullet"/>
      <w:lvlText w:val="•"/>
      <w:lvlJc w:val="left"/>
      <w:pPr>
        <w:ind w:left="3151" w:hanging="347"/>
      </w:pPr>
      <w:rPr>
        <w:rFonts w:hint="default"/>
        <w:lang w:val="en-US" w:eastAsia="en-US" w:bidi="ar-SA"/>
      </w:rPr>
    </w:lvl>
    <w:lvl w:ilvl="4" w:tplc="15B873BA">
      <w:numFmt w:val="bullet"/>
      <w:lvlText w:val="•"/>
      <w:lvlJc w:val="left"/>
      <w:pPr>
        <w:ind w:left="4306" w:hanging="347"/>
      </w:pPr>
      <w:rPr>
        <w:rFonts w:hint="default"/>
        <w:lang w:val="en-US" w:eastAsia="en-US" w:bidi="ar-SA"/>
      </w:rPr>
    </w:lvl>
    <w:lvl w:ilvl="5" w:tplc="032E6F36">
      <w:numFmt w:val="bullet"/>
      <w:lvlText w:val="•"/>
      <w:lvlJc w:val="left"/>
      <w:pPr>
        <w:ind w:left="5462" w:hanging="347"/>
      </w:pPr>
      <w:rPr>
        <w:rFonts w:hint="default"/>
        <w:lang w:val="en-US" w:eastAsia="en-US" w:bidi="ar-SA"/>
      </w:rPr>
    </w:lvl>
    <w:lvl w:ilvl="6" w:tplc="0E18FC3A">
      <w:numFmt w:val="bullet"/>
      <w:lvlText w:val="•"/>
      <w:lvlJc w:val="left"/>
      <w:pPr>
        <w:ind w:left="6617" w:hanging="347"/>
      </w:pPr>
      <w:rPr>
        <w:rFonts w:hint="default"/>
        <w:lang w:val="en-US" w:eastAsia="en-US" w:bidi="ar-SA"/>
      </w:rPr>
    </w:lvl>
    <w:lvl w:ilvl="7" w:tplc="EBBC1CFA">
      <w:numFmt w:val="bullet"/>
      <w:lvlText w:val="•"/>
      <w:lvlJc w:val="left"/>
      <w:pPr>
        <w:ind w:left="7773" w:hanging="347"/>
      </w:pPr>
      <w:rPr>
        <w:rFonts w:hint="default"/>
        <w:lang w:val="en-US" w:eastAsia="en-US" w:bidi="ar-SA"/>
      </w:rPr>
    </w:lvl>
    <w:lvl w:ilvl="8" w:tplc="FEC20CC4">
      <w:numFmt w:val="bullet"/>
      <w:lvlText w:val="•"/>
      <w:lvlJc w:val="left"/>
      <w:pPr>
        <w:ind w:left="8928" w:hanging="347"/>
      </w:pPr>
      <w:rPr>
        <w:rFonts w:hint="default"/>
        <w:lang w:val="en-US" w:eastAsia="en-US" w:bidi="ar-SA"/>
      </w:rPr>
    </w:lvl>
  </w:abstractNum>
  <w:abstractNum w:abstractNumId="9" w15:restartNumberingAfterBreak="0">
    <w:nsid w:val="6B6016BB"/>
    <w:multiLevelType w:val="hybridMultilevel"/>
    <w:tmpl w:val="6E148B6C"/>
    <w:lvl w:ilvl="0" w:tplc="45FC2B8A">
      <w:start w:val="2"/>
      <w:numFmt w:val="decimal"/>
      <w:lvlText w:val="%1."/>
      <w:lvlJc w:val="left"/>
      <w:pPr>
        <w:ind w:left="832" w:hanging="360"/>
      </w:pPr>
      <w:rPr>
        <w:rFonts w:ascii="Times New Roman" w:eastAsia="Times New Roman" w:hAnsi="Times New Roman" w:cs="Times New Roman" w:hint="default"/>
        <w:b w:val="0"/>
        <w:bCs w:val="0"/>
        <w:i w:val="0"/>
        <w:iCs w:val="0"/>
        <w:color w:val="878787"/>
        <w:spacing w:val="0"/>
        <w:w w:val="107"/>
        <w:sz w:val="23"/>
        <w:szCs w:val="23"/>
        <w:lang w:val="en-US" w:eastAsia="en-US" w:bidi="ar-SA"/>
      </w:rPr>
    </w:lvl>
    <w:lvl w:ilvl="1" w:tplc="C8D8AE3A">
      <w:start w:val="1"/>
      <w:numFmt w:val="lowerLetter"/>
      <w:lvlText w:val="%2."/>
      <w:lvlJc w:val="left"/>
      <w:pPr>
        <w:ind w:left="1191" w:hanging="364"/>
      </w:pPr>
      <w:rPr>
        <w:rFonts w:ascii="Times New Roman" w:eastAsia="Times New Roman" w:hAnsi="Times New Roman" w:cs="Times New Roman" w:hint="default"/>
        <w:b w:val="0"/>
        <w:bCs w:val="0"/>
        <w:i w:val="0"/>
        <w:iCs w:val="0"/>
        <w:color w:val="878787"/>
        <w:spacing w:val="0"/>
        <w:w w:val="110"/>
        <w:sz w:val="23"/>
        <w:szCs w:val="23"/>
        <w:lang w:val="en-US" w:eastAsia="en-US" w:bidi="ar-SA"/>
      </w:rPr>
    </w:lvl>
    <w:lvl w:ilvl="2" w:tplc="8B78FBA0">
      <w:numFmt w:val="bullet"/>
      <w:lvlText w:val="•"/>
      <w:lvlJc w:val="left"/>
      <w:pPr>
        <w:ind w:left="1200" w:hanging="364"/>
      </w:pPr>
      <w:rPr>
        <w:rFonts w:hint="default"/>
        <w:lang w:val="en-US" w:eastAsia="en-US" w:bidi="ar-SA"/>
      </w:rPr>
    </w:lvl>
    <w:lvl w:ilvl="3" w:tplc="B1B86B2C">
      <w:numFmt w:val="bullet"/>
      <w:lvlText w:val="•"/>
      <w:lvlJc w:val="left"/>
      <w:pPr>
        <w:ind w:left="2455" w:hanging="364"/>
      </w:pPr>
      <w:rPr>
        <w:rFonts w:hint="default"/>
        <w:lang w:val="en-US" w:eastAsia="en-US" w:bidi="ar-SA"/>
      </w:rPr>
    </w:lvl>
    <w:lvl w:ilvl="4" w:tplc="195C2B18">
      <w:numFmt w:val="bullet"/>
      <w:lvlText w:val="•"/>
      <w:lvlJc w:val="left"/>
      <w:pPr>
        <w:ind w:left="3710" w:hanging="364"/>
      </w:pPr>
      <w:rPr>
        <w:rFonts w:hint="default"/>
        <w:lang w:val="en-US" w:eastAsia="en-US" w:bidi="ar-SA"/>
      </w:rPr>
    </w:lvl>
    <w:lvl w:ilvl="5" w:tplc="C6E24BC2">
      <w:numFmt w:val="bullet"/>
      <w:lvlText w:val="•"/>
      <w:lvlJc w:val="left"/>
      <w:pPr>
        <w:ind w:left="4965" w:hanging="364"/>
      </w:pPr>
      <w:rPr>
        <w:rFonts w:hint="default"/>
        <w:lang w:val="en-US" w:eastAsia="en-US" w:bidi="ar-SA"/>
      </w:rPr>
    </w:lvl>
    <w:lvl w:ilvl="6" w:tplc="D3421A68">
      <w:numFmt w:val="bullet"/>
      <w:lvlText w:val="•"/>
      <w:lvlJc w:val="left"/>
      <w:pPr>
        <w:ind w:left="6220" w:hanging="364"/>
      </w:pPr>
      <w:rPr>
        <w:rFonts w:hint="default"/>
        <w:lang w:val="en-US" w:eastAsia="en-US" w:bidi="ar-SA"/>
      </w:rPr>
    </w:lvl>
    <w:lvl w:ilvl="7" w:tplc="8B7EEA38">
      <w:numFmt w:val="bullet"/>
      <w:lvlText w:val="•"/>
      <w:lvlJc w:val="left"/>
      <w:pPr>
        <w:ind w:left="7475" w:hanging="364"/>
      </w:pPr>
      <w:rPr>
        <w:rFonts w:hint="default"/>
        <w:lang w:val="en-US" w:eastAsia="en-US" w:bidi="ar-SA"/>
      </w:rPr>
    </w:lvl>
    <w:lvl w:ilvl="8" w:tplc="154ED24E">
      <w:numFmt w:val="bullet"/>
      <w:lvlText w:val="•"/>
      <w:lvlJc w:val="left"/>
      <w:pPr>
        <w:ind w:left="8730" w:hanging="364"/>
      </w:pPr>
      <w:rPr>
        <w:rFonts w:hint="default"/>
        <w:lang w:val="en-US" w:eastAsia="en-US" w:bidi="ar-SA"/>
      </w:rPr>
    </w:lvl>
  </w:abstractNum>
  <w:num w:numId="1" w16cid:durableId="423958092">
    <w:abstractNumId w:val="5"/>
  </w:num>
  <w:num w:numId="2" w16cid:durableId="56713275">
    <w:abstractNumId w:val="9"/>
  </w:num>
  <w:num w:numId="3" w16cid:durableId="1346833195">
    <w:abstractNumId w:val="6"/>
  </w:num>
  <w:num w:numId="4" w16cid:durableId="1075207986">
    <w:abstractNumId w:val="7"/>
  </w:num>
  <w:num w:numId="5" w16cid:durableId="1241915171">
    <w:abstractNumId w:val="8"/>
  </w:num>
  <w:num w:numId="6" w16cid:durableId="1684892444">
    <w:abstractNumId w:val="2"/>
  </w:num>
  <w:num w:numId="7" w16cid:durableId="941687761">
    <w:abstractNumId w:val="1"/>
  </w:num>
  <w:num w:numId="8" w16cid:durableId="1031296023">
    <w:abstractNumId w:val="0"/>
  </w:num>
  <w:num w:numId="9" w16cid:durableId="504245339">
    <w:abstractNumId w:val="4"/>
  </w:num>
  <w:num w:numId="10" w16cid:durableId="1432551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F5"/>
    <w:rsid w:val="0005729D"/>
    <w:rsid w:val="000A4600"/>
    <w:rsid w:val="000C0C45"/>
    <w:rsid w:val="000E016B"/>
    <w:rsid w:val="00116D00"/>
    <w:rsid w:val="00131838"/>
    <w:rsid w:val="00141F6A"/>
    <w:rsid w:val="001A1054"/>
    <w:rsid w:val="002431AE"/>
    <w:rsid w:val="00291512"/>
    <w:rsid w:val="002F2E93"/>
    <w:rsid w:val="00354B59"/>
    <w:rsid w:val="00451352"/>
    <w:rsid w:val="004C0B26"/>
    <w:rsid w:val="004E0157"/>
    <w:rsid w:val="005053F5"/>
    <w:rsid w:val="00521DBC"/>
    <w:rsid w:val="00534F83"/>
    <w:rsid w:val="00556E63"/>
    <w:rsid w:val="005F7E37"/>
    <w:rsid w:val="00692E45"/>
    <w:rsid w:val="006C6DDC"/>
    <w:rsid w:val="007032DF"/>
    <w:rsid w:val="00747455"/>
    <w:rsid w:val="007800A2"/>
    <w:rsid w:val="0082374B"/>
    <w:rsid w:val="00833CE2"/>
    <w:rsid w:val="00845D5B"/>
    <w:rsid w:val="00862D6D"/>
    <w:rsid w:val="009400C1"/>
    <w:rsid w:val="00B74C8F"/>
    <w:rsid w:val="00BE4322"/>
    <w:rsid w:val="00C13701"/>
    <w:rsid w:val="00CA76F4"/>
    <w:rsid w:val="00E43E7E"/>
    <w:rsid w:val="00E4519C"/>
    <w:rsid w:val="00EA0857"/>
    <w:rsid w:val="00EC3991"/>
    <w:rsid w:val="00EE7488"/>
    <w:rsid w:val="00F83FE7"/>
    <w:rsid w:val="00F9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2A97"/>
  <w15:docId w15:val="{ADBB5271-B983-4E72-8CC2-E47CB5CD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4"/>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spacing w:before="17"/>
      <w:ind w:left="475" w:hanging="365"/>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74C8F"/>
    <w:rPr>
      <w:sz w:val="16"/>
      <w:szCs w:val="16"/>
    </w:rPr>
  </w:style>
  <w:style w:type="paragraph" w:styleId="CommentText">
    <w:name w:val="annotation text"/>
    <w:basedOn w:val="Normal"/>
    <w:link w:val="CommentTextChar"/>
    <w:uiPriority w:val="99"/>
    <w:unhideWhenUsed/>
    <w:rsid w:val="00B74C8F"/>
    <w:rPr>
      <w:sz w:val="20"/>
      <w:szCs w:val="20"/>
    </w:rPr>
  </w:style>
  <w:style w:type="character" w:customStyle="1" w:styleId="CommentTextChar">
    <w:name w:val="Comment Text Char"/>
    <w:basedOn w:val="DefaultParagraphFont"/>
    <w:link w:val="CommentText"/>
    <w:uiPriority w:val="99"/>
    <w:rsid w:val="00B74C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C8F"/>
    <w:rPr>
      <w:b/>
      <w:bCs/>
    </w:rPr>
  </w:style>
  <w:style w:type="character" w:customStyle="1" w:styleId="CommentSubjectChar">
    <w:name w:val="Comment Subject Char"/>
    <w:basedOn w:val="CommentTextChar"/>
    <w:link w:val="CommentSubject"/>
    <w:uiPriority w:val="99"/>
    <w:semiHidden/>
    <w:rsid w:val="00B74C8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E4322"/>
    <w:rPr>
      <w:color w:val="0000FF" w:themeColor="hyperlink"/>
      <w:u w:val="single"/>
    </w:rPr>
  </w:style>
  <w:style w:type="character" w:styleId="UnresolvedMention">
    <w:name w:val="Unresolved Mention"/>
    <w:basedOn w:val="DefaultParagraphFont"/>
    <w:uiPriority w:val="99"/>
    <w:semiHidden/>
    <w:unhideWhenUsed/>
    <w:rsid w:val="00BE4322"/>
    <w:rPr>
      <w:color w:val="605E5C"/>
      <w:shd w:val="clear" w:color="auto" w:fill="E1DFDD"/>
    </w:rPr>
  </w:style>
  <w:style w:type="paragraph" w:styleId="Revision">
    <w:name w:val="Revision"/>
    <w:hidden/>
    <w:uiPriority w:val="99"/>
    <w:semiHidden/>
    <w:rsid w:val="00BE432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91512"/>
    <w:pPr>
      <w:tabs>
        <w:tab w:val="center" w:pos="4680"/>
        <w:tab w:val="right" w:pos="9360"/>
      </w:tabs>
    </w:pPr>
  </w:style>
  <w:style w:type="character" w:customStyle="1" w:styleId="HeaderChar">
    <w:name w:val="Header Char"/>
    <w:basedOn w:val="DefaultParagraphFont"/>
    <w:link w:val="Header"/>
    <w:uiPriority w:val="99"/>
    <w:rsid w:val="00291512"/>
    <w:rPr>
      <w:rFonts w:ascii="Times New Roman" w:eastAsia="Times New Roman" w:hAnsi="Times New Roman" w:cs="Times New Roman"/>
    </w:rPr>
  </w:style>
  <w:style w:type="paragraph" w:styleId="Footer">
    <w:name w:val="footer"/>
    <w:basedOn w:val="Normal"/>
    <w:link w:val="FooterChar"/>
    <w:uiPriority w:val="99"/>
    <w:unhideWhenUsed/>
    <w:rsid w:val="00291512"/>
    <w:pPr>
      <w:tabs>
        <w:tab w:val="center" w:pos="4680"/>
        <w:tab w:val="right" w:pos="9360"/>
      </w:tabs>
    </w:pPr>
  </w:style>
  <w:style w:type="character" w:customStyle="1" w:styleId="FooterChar">
    <w:name w:val="Footer Char"/>
    <w:basedOn w:val="DefaultParagraphFont"/>
    <w:link w:val="Footer"/>
    <w:uiPriority w:val="99"/>
    <w:rsid w:val="0029151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431AE"/>
    <w:rPr>
      <w:rFonts w:ascii="Times New Roman" w:eastAsia="Times New Roman" w:hAnsi="Times New Roman" w:cs="Times New Roman"/>
      <w:sz w:val="23"/>
      <w:szCs w:val="23"/>
    </w:rPr>
  </w:style>
  <w:style w:type="paragraph" w:styleId="HTMLPreformatted">
    <w:name w:val="HTML Preformatted"/>
    <w:basedOn w:val="Normal"/>
    <w:link w:val="HTMLPreformattedChar"/>
    <w:uiPriority w:val="99"/>
    <w:semiHidden/>
    <w:unhideWhenUsed/>
    <w:rsid w:val="001A105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1054"/>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6357">
      <w:bodyDiv w:val="1"/>
      <w:marLeft w:val="0"/>
      <w:marRight w:val="0"/>
      <w:marTop w:val="0"/>
      <w:marBottom w:val="0"/>
      <w:divBdr>
        <w:top w:val="none" w:sz="0" w:space="0" w:color="auto"/>
        <w:left w:val="none" w:sz="0" w:space="0" w:color="auto"/>
        <w:bottom w:val="none" w:sz="0" w:space="0" w:color="auto"/>
        <w:right w:val="none" w:sz="0" w:space="0" w:color="auto"/>
      </w:divBdr>
    </w:div>
    <w:div w:id="33240119">
      <w:bodyDiv w:val="1"/>
      <w:marLeft w:val="0"/>
      <w:marRight w:val="0"/>
      <w:marTop w:val="0"/>
      <w:marBottom w:val="0"/>
      <w:divBdr>
        <w:top w:val="none" w:sz="0" w:space="0" w:color="auto"/>
        <w:left w:val="none" w:sz="0" w:space="0" w:color="auto"/>
        <w:bottom w:val="none" w:sz="0" w:space="0" w:color="auto"/>
        <w:right w:val="none" w:sz="0" w:space="0" w:color="auto"/>
      </w:divBdr>
    </w:div>
    <w:div w:id="89325905">
      <w:bodyDiv w:val="1"/>
      <w:marLeft w:val="0"/>
      <w:marRight w:val="0"/>
      <w:marTop w:val="0"/>
      <w:marBottom w:val="0"/>
      <w:divBdr>
        <w:top w:val="none" w:sz="0" w:space="0" w:color="auto"/>
        <w:left w:val="none" w:sz="0" w:space="0" w:color="auto"/>
        <w:bottom w:val="none" w:sz="0" w:space="0" w:color="auto"/>
        <w:right w:val="none" w:sz="0" w:space="0" w:color="auto"/>
      </w:divBdr>
    </w:div>
    <w:div w:id="188107440">
      <w:bodyDiv w:val="1"/>
      <w:marLeft w:val="0"/>
      <w:marRight w:val="0"/>
      <w:marTop w:val="0"/>
      <w:marBottom w:val="0"/>
      <w:divBdr>
        <w:top w:val="none" w:sz="0" w:space="0" w:color="auto"/>
        <w:left w:val="none" w:sz="0" w:space="0" w:color="auto"/>
        <w:bottom w:val="none" w:sz="0" w:space="0" w:color="auto"/>
        <w:right w:val="none" w:sz="0" w:space="0" w:color="auto"/>
      </w:divBdr>
      <w:divsChild>
        <w:div w:id="1308824337">
          <w:marLeft w:val="0"/>
          <w:marRight w:val="0"/>
          <w:marTop w:val="0"/>
          <w:marBottom w:val="0"/>
          <w:divBdr>
            <w:top w:val="none" w:sz="0" w:space="0" w:color="auto"/>
            <w:left w:val="none" w:sz="0" w:space="0" w:color="auto"/>
            <w:bottom w:val="none" w:sz="0" w:space="0" w:color="auto"/>
            <w:right w:val="none" w:sz="0" w:space="0" w:color="auto"/>
          </w:divBdr>
          <w:divsChild>
            <w:div w:id="1131359554">
              <w:marLeft w:val="0"/>
              <w:marRight w:val="0"/>
              <w:marTop w:val="0"/>
              <w:marBottom w:val="0"/>
              <w:divBdr>
                <w:top w:val="none" w:sz="0" w:space="0" w:color="auto"/>
                <w:left w:val="none" w:sz="0" w:space="0" w:color="auto"/>
                <w:bottom w:val="none" w:sz="0" w:space="0" w:color="auto"/>
                <w:right w:val="none" w:sz="0" w:space="0" w:color="auto"/>
              </w:divBdr>
              <w:divsChild>
                <w:div w:id="1657880839">
                  <w:marLeft w:val="0"/>
                  <w:marRight w:val="0"/>
                  <w:marTop w:val="0"/>
                  <w:marBottom w:val="0"/>
                  <w:divBdr>
                    <w:top w:val="none" w:sz="0" w:space="0" w:color="auto"/>
                    <w:left w:val="none" w:sz="0" w:space="0" w:color="auto"/>
                    <w:bottom w:val="none" w:sz="0" w:space="0" w:color="auto"/>
                    <w:right w:val="none" w:sz="0" w:space="0" w:color="auto"/>
                  </w:divBdr>
                  <w:divsChild>
                    <w:div w:id="1569421930">
                      <w:marLeft w:val="0"/>
                      <w:marRight w:val="0"/>
                      <w:marTop w:val="0"/>
                      <w:marBottom w:val="0"/>
                      <w:divBdr>
                        <w:top w:val="none" w:sz="0" w:space="0" w:color="auto"/>
                        <w:left w:val="none" w:sz="0" w:space="0" w:color="auto"/>
                        <w:bottom w:val="none" w:sz="0" w:space="0" w:color="auto"/>
                        <w:right w:val="none" w:sz="0" w:space="0" w:color="auto"/>
                      </w:divBdr>
                      <w:divsChild>
                        <w:div w:id="1487673735">
                          <w:marLeft w:val="0"/>
                          <w:marRight w:val="0"/>
                          <w:marTop w:val="0"/>
                          <w:marBottom w:val="0"/>
                          <w:divBdr>
                            <w:top w:val="none" w:sz="0" w:space="0" w:color="auto"/>
                            <w:left w:val="none" w:sz="0" w:space="0" w:color="auto"/>
                            <w:bottom w:val="none" w:sz="0" w:space="0" w:color="auto"/>
                            <w:right w:val="none" w:sz="0" w:space="0" w:color="auto"/>
                          </w:divBdr>
                          <w:divsChild>
                            <w:div w:id="1688873002">
                              <w:marLeft w:val="0"/>
                              <w:marRight w:val="0"/>
                              <w:marTop w:val="0"/>
                              <w:marBottom w:val="0"/>
                              <w:divBdr>
                                <w:top w:val="none" w:sz="0" w:space="0" w:color="auto"/>
                                <w:left w:val="none" w:sz="0" w:space="0" w:color="auto"/>
                                <w:bottom w:val="none" w:sz="0" w:space="0" w:color="auto"/>
                                <w:right w:val="none" w:sz="0" w:space="0" w:color="auto"/>
                              </w:divBdr>
                              <w:divsChild>
                                <w:div w:id="2081782211">
                                  <w:marLeft w:val="0"/>
                                  <w:marRight w:val="0"/>
                                  <w:marTop w:val="0"/>
                                  <w:marBottom w:val="0"/>
                                  <w:divBdr>
                                    <w:top w:val="none" w:sz="0" w:space="0" w:color="auto"/>
                                    <w:left w:val="none" w:sz="0" w:space="0" w:color="auto"/>
                                    <w:bottom w:val="none" w:sz="0" w:space="0" w:color="auto"/>
                                    <w:right w:val="none" w:sz="0" w:space="0" w:color="auto"/>
                                  </w:divBdr>
                                  <w:divsChild>
                                    <w:div w:id="1374429567">
                                      <w:marLeft w:val="0"/>
                                      <w:marRight w:val="0"/>
                                      <w:marTop w:val="0"/>
                                      <w:marBottom w:val="0"/>
                                      <w:divBdr>
                                        <w:top w:val="none" w:sz="0" w:space="0" w:color="auto"/>
                                        <w:left w:val="none" w:sz="0" w:space="0" w:color="auto"/>
                                        <w:bottom w:val="none" w:sz="0" w:space="0" w:color="auto"/>
                                        <w:right w:val="none" w:sz="0" w:space="0" w:color="auto"/>
                                      </w:divBdr>
                                    </w:div>
                                    <w:div w:id="312024393">
                                      <w:marLeft w:val="0"/>
                                      <w:marRight w:val="0"/>
                                      <w:marTop w:val="0"/>
                                      <w:marBottom w:val="0"/>
                                      <w:divBdr>
                                        <w:top w:val="none" w:sz="0" w:space="0" w:color="auto"/>
                                        <w:left w:val="none" w:sz="0" w:space="0" w:color="auto"/>
                                        <w:bottom w:val="none" w:sz="0" w:space="0" w:color="auto"/>
                                        <w:right w:val="none" w:sz="0" w:space="0" w:color="auto"/>
                                      </w:divBdr>
                                      <w:divsChild>
                                        <w:div w:id="1261722591">
                                          <w:marLeft w:val="0"/>
                                          <w:marRight w:val="165"/>
                                          <w:marTop w:val="150"/>
                                          <w:marBottom w:val="0"/>
                                          <w:divBdr>
                                            <w:top w:val="none" w:sz="0" w:space="0" w:color="auto"/>
                                            <w:left w:val="none" w:sz="0" w:space="0" w:color="auto"/>
                                            <w:bottom w:val="none" w:sz="0" w:space="0" w:color="auto"/>
                                            <w:right w:val="none" w:sz="0" w:space="0" w:color="auto"/>
                                          </w:divBdr>
                                          <w:divsChild>
                                            <w:div w:id="233246403">
                                              <w:marLeft w:val="0"/>
                                              <w:marRight w:val="0"/>
                                              <w:marTop w:val="0"/>
                                              <w:marBottom w:val="0"/>
                                              <w:divBdr>
                                                <w:top w:val="none" w:sz="0" w:space="0" w:color="auto"/>
                                                <w:left w:val="none" w:sz="0" w:space="0" w:color="auto"/>
                                                <w:bottom w:val="none" w:sz="0" w:space="0" w:color="auto"/>
                                                <w:right w:val="none" w:sz="0" w:space="0" w:color="auto"/>
                                              </w:divBdr>
                                              <w:divsChild>
                                                <w:div w:id="4118544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5913">
      <w:bodyDiv w:val="1"/>
      <w:marLeft w:val="0"/>
      <w:marRight w:val="0"/>
      <w:marTop w:val="0"/>
      <w:marBottom w:val="0"/>
      <w:divBdr>
        <w:top w:val="none" w:sz="0" w:space="0" w:color="auto"/>
        <w:left w:val="none" w:sz="0" w:space="0" w:color="auto"/>
        <w:bottom w:val="none" w:sz="0" w:space="0" w:color="auto"/>
        <w:right w:val="none" w:sz="0" w:space="0" w:color="auto"/>
      </w:divBdr>
    </w:div>
    <w:div w:id="402147602">
      <w:bodyDiv w:val="1"/>
      <w:marLeft w:val="0"/>
      <w:marRight w:val="0"/>
      <w:marTop w:val="0"/>
      <w:marBottom w:val="0"/>
      <w:divBdr>
        <w:top w:val="none" w:sz="0" w:space="0" w:color="auto"/>
        <w:left w:val="none" w:sz="0" w:space="0" w:color="auto"/>
        <w:bottom w:val="none" w:sz="0" w:space="0" w:color="auto"/>
        <w:right w:val="none" w:sz="0" w:space="0" w:color="auto"/>
      </w:divBdr>
    </w:div>
    <w:div w:id="751780264">
      <w:bodyDiv w:val="1"/>
      <w:marLeft w:val="0"/>
      <w:marRight w:val="0"/>
      <w:marTop w:val="0"/>
      <w:marBottom w:val="0"/>
      <w:divBdr>
        <w:top w:val="none" w:sz="0" w:space="0" w:color="auto"/>
        <w:left w:val="none" w:sz="0" w:space="0" w:color="auto"/>
        <w:bottom w:val="none" w:sz="0" w:space="0" w:color="auto"/>
        <w:right w:val="none" w:sz="0" w:space="0" w:color="auto"/>
      </w:divBdr>
    </w:div>
    <w:div w:id="770004513">
      <w:bodyDiv w:val="1"/>
      <w:marLeft w:val="0"/>
      <w:marRight w:val="0"/>
      <w:marTop w:val="0"/>
      <w:marBottom w:val="0"/>
      <w:divBdr>
        <w:top w:val="none" w:sz="0" w:space="0" w:color="auto"/>
        <w:left w:val="none" w:sz="0" w:space="0" w:color="auto"/>
        <w:bottom w:val="none" w:sz="0" w:space="0" w:color="auto"/>
        <w:right w:val="none" w:sz="0" w:space="0" w:color="auto"/>
      </w:divBdr>
    </w:div>
    <w:div w:id="855198178">
      <w:bodyDiv w:val="1"/>
      <w:marLeft w:val="0"/>
      <w:marRight w:val="0"/>
      <w:marTop w:val="0"/>
      <w:marBottom w:val="0"/>
      <w:divBdr>
        <w:top w:val="none" w:sz="0" w:space="0" w:color="auto"/>
        <w:left w:val="none" w:sz="0" w:space="0" w:color="auto"/>
        <w:bottom w:val="none" w:sz="0" w:space="0" w:color="auto"/>
        <w:right w:val="none" w:sz="0" w:space="0" w:color="auto"/>
      </w:divBdr>
    </w:div>
    <w:div w:id="1179389162">
      <w:bodyDiv w:val="1"/>
      <w:marLeft w:val="0"/>
      <w:marRight w:val="0"/>
      <w:marTop w:val="0"/>
      <w:marBottom w:val="0"/>
      <w:divBdr>
        <w:top w:val="none" w:sz="0" w:space="0" w:color="auto"/>
        <w:left w:val="none" w:sz="0" w:space="0" w:color="auto"/>
        <w:bottom w:val="none" w:sz="0" w:space="0" w:color="auto"/>
        <w:right w:val="none" w:sz="0" w:space="0" w:color="auto"/>
      </w:divBdr>
    </w:div>
    <w:div w:id="1186217199">
      <w:bodyDiv w:val="1"/>
      <w:marLeft w:val="0"/>
      <w:marRight w:val="0"/>
      <w:marTop w:val="0"/>
      <w:marBottom w:val="0"/>
      <w:divBdr>
        <w:top w:val="none" w:sz="0" w:space="0" w:color="auto"/>
        <w:left w:val="none" w:sz="0" w:space="0" w:color="auto"/>
        <w:bottom w:val="none" w:sz="0" w:space="0" w:color="auto"/>
        <w:right w:val="none" w:sz="0" w:space="0" w:color="auto"/>
      </w:divBdr>
    </w:div>
    <w:div w:id="1218281018">
      <w:bodyDiv w:val="1"/>
      <w:marLeft w:val="0"/>
      <w:marRight w:val="0"/>
      <w:marTop w:val="0"/>
      <w:marBottom w:val="0"/>
      <w:divBdr>
        <w:top w:val="none" w:sz="0" w:space="0" w:color="auto"/>
        <w:left w:val="none" w:sz="0" w:space="0" w:color="auto"/>
        <w:bottom w:val="none" w:sz="0" w:space="0" w:color="auto"/>
        <w:right w:val="none" w:sz="0" w:space="0" w:color="auto"/>
      </w:divBdr>
    </w:div>
    <w:div w:id="1273513476">
      <w:bodyDiv w:val="1"/>
      <w:marLeft w:val="0"/>
      <w:marRight w:val="0"/>
      <w:marTop w:val="0"/>
      <w:marBottom w:val="0"/>
      <w:divBdr>
        <w:top w:val="none" w:sz="0" w:space="0" w:color="auto"/>
        <w:left w:val="none" w:sz="0" w:space="0" w:color="auto"/>
        <w:bottom w:val="none" w:sz="0" w:space="0" w:color="auto"/>
        <w:right w:val="none" w:sz="0" w:space="0" w:color="auto"/>
      </w:divBdr>
    </w:div>
    <w:div w:id="1505170968">
      <w:bodyDiv w:val="1"/>
      <w:marLeft w:val="0"/>
      <w:marRight w:val="0"/>
      <w:marTop w:val="0"/>
      <w:marBottom w:val="0"/>
      <w:divBdr>
        <w:top w:val="none" w:sz="0" w:space="0" w:color="auto"/>
        <w:left w:val="none" w:sz="0" w:space="0" w:color="auto"/>
        <w:bottom w:val="none" w:sz="0" w:space="0" w:color="auto"/>
        <w:right w:val="none" w:sz="0" w:space="0" w:color="auto"/>
      </w:divBdr>
      <w:divsChild>
        <w:div w:id="513299939">
          <w:marLeft w:val="0"/>
          <w:marRight w:val="0"/>
          <w:marTop w:val="0"/>
          <w:marBottom w:val="0"/>
          <w:divBdr>
            <w:top w:val="none" w:sz="0" w:space="0" w:color="auto"/>
            <w:left w:val="none" w:sz="0" w:space="0" w:color="auto"/>
            <w:bottom w:val="none" w:sz="0" w:space="0" w:color="auto"/>
            <w:right w:val="none" w:sz="0" w:space="0" w:color="auto"/>
          </w:divBdr>
          <w:divsChild>
            <w:div w:id="11230892">
              <w:marLeft w:val="0"/>
              <w:marRight w:val="0"/>
              <w:marTop w:val="0"/>
              <w:marBottom w:val="0"/>
              <w:divBdr>
                <w:top w:val="none" w:sz="0" w:space="0" w:color="auto"/>
                <w:left w:val="none" w:sz="0" w:space="0" w:color="auto"/>
                <w:bottom w:val="none" w:sz="0" w:space="0" w:color="auto"/>
                <w:right w:val="none" w:sz="0" w:space="0" w:color="auto"/>
              </w:divBdr>
              <w:divsChild>
                <w:div w:id="1964848875">
                  <w:marLeft w:val="0"/>
                  <w:marRight w:val="0"/>
                  <w:marTop w:val="0"/>
                  <w:marBottom w:val="0"/>
                  <w:divBdr>
                    <w:top w:val="none" w:sz="0" w:space="0" w:color="auto"/>
                    <w:left w:val="none" w:sz="0" w:space="0" w:color="auto"/>
                    <w:bottom w:val="none" w:sz="0" w:space="0" w:color="auto"/>
                    <w:right w:val="none" w:sz="0" w:space="0" w:color="auto"/>
                  </w:divBdr>
                  <w:divsChild>
                    <w:div w:id="1830093207">
                      <w:marLeft w:val="0"/>
                      <w:marRight w:val="0"/>
                      <w:marTop w:val="0"/>
                      <w:marBottom w:val="0"/>
                      <w:divBdr>
                        <w:top w:val="none" w:sz="0" w:space="0" w:color="auto"/>
                        <w:left w:val="none" w:sz="0" w:space="0" w:color="auto"/>
                        <w:bottom w:val="none" w:sz="0" w:space="0" w:color="auto"/>
                        <w:right w:val="none" w:sz="0" w:space="0" w:color="auto"/>
                      </w:divBdr>
                      <w:divsChild>
                        <w:div w:id="352920858">
                          <w:marLeft w:val="0"/>
                          <w:marRight w:val="0"/>
                          <w:marTop w:val="0"/>
                          <w:marBottom w:val="0"/>
                          <w:divBdr>
                            <w:top w:val="none" w:sz="0" w:space="0" w:color="auto"/>
                            <w:left w:val="none" w:sz="0" w:space="0" w:color="auto"/>
                            <w:bottom w:val="none" w:sz="0" w:space="0" w:color="auto"/>
                            <w:right w:val="none" w:sz="0" w:space="0" w:color="auto"/>
                          </w:divBdr>
                          <w:divsChild>
                            <w:div w:id="526984805">
                              <w:marLeft w:val="0"/>
                              <w:marRight w:val="0"/>
                              <w:marTop w:val="0"/>
                              <w:marBottom w:val="0"/>
                              <w:divBdr>
                                <w:top w:val="none" w:sz="0" w:space="0" w:color="auto"/>
                                <w:left w:val="none" w:sz="0" w:space="0" w:color="auto"/>
                                <w:bottom w:val="none" w:sz="0" w:space="0" w:color="auto"/>
                                <w:right w:val="none" w:sz="0" w:space="0" w:color="auto"/>
                              </w:divBdr>
                              <w:divsChild>
                                <w:div w:id="2089844692">
                                  <w:marLeft w:val="0"/>
                                  <w:marRight w:val="0"/>
                                  <w:marTop w:val="0"/>
                                  <w:marBottom w:val="0"/>
                                  <w:divBdr>
                                    <w:top w:val="none" w:sz="0" w:space="0" w:color="auto"/>
                                    <w:left w:val="none" w:sz="0" w:space="0" w:color="auto"/>
                                    <w:bottom w:val="none" w:sz="0" w:space="0" w:color="auto"/>
                                    <w:right w:val="none" w:sz="0" w:space="0" w:color="auto"/>
                                  </w:divBdr>
                                  <w:divsChild>
                                    <w:div w:id="1906840963">
                                      <w:marLeft w:val="0"/>
                                      <w:marRight w:val="0"/>
                                      <w:marTop w:val="0"/>
                                      <w:marBottom w:val="0"/>
                                      <w:divBdr>
                                        <w:top w:val="none" w:sz="0" w:space="0" w:color="auto"/>
                                        <w:left w:val="none" w:sz="0" w:space="0" w:color="auto"/>
                                        <w:bottom w:val="none" w:sz="0" w:space="0" w:color="auto"/>
                                        <w:right w:val="none" w:sz="0" w:space="0" w:color="auto"/>
                                      </w:divBdr>
                                    </w:div>
                                    <w:div w:id="822089963">
                                      <w:marLeft w:val="0"/>
                                      <w:marRight w:val="0"/>
                                      <w:marTop w:val="0"/>
                                      <w:marBottom w:val="0"/>
                                      <w:divBdr>
                                        <w:top w:val="none" w:sz="0" w:space="0" w:color="auto"/>
                                        <w:left w:val="none" w:sz="0" w:space="0" w:color="auto"/>
                                        <w:bottom w:val="none" w:sz="0" w:space="0" w:color="auto"/>
                                        <w:right w:val="none" w:sz="0" w:space="0" w:color="auto"/>
                                      </w:divBdr>
                                      <w:divsChild>
                                        <w:div w:id="1649239552">
                                          <w:marLeft w:val="0"/>
                                          <w:marRight w:val="165"/>
                                          <w:marTop w:val="150"/>
                                          <w:marBottom w:val="0"/>
                                          <w:divBdr>
                                            <w:top w:val="none" w:sz="0" w:space="0" w:color="auto"/>
                                            <w:left w:val="none" w:sz="0" w:space="0" w:color="auto"/>
                                            <w:bottom w:val="none" w:sz="0" w:space="0" w:color="auto"/>
                                            <w:right w:val="none" w:sz="0" w:space="0" w:color="auto"/>
                                          </w:divBdr>
                                          <w:divsChild>
                                            <w:div w:id="107967068">
                                              <w:marLeft w:val="0"/>
                                              <w:marRight w:val="0"/>
                                              <w:marTop w:val="0"/>
                                              <w:marBottom w:val="0"/>
                                              <w:divBdr>
                                                <w:top w:val="none" w:sz="0" w:space="0" w:color="auto"/>
                                                <w:left w:val="none" w:sz="0" w:space="0" w:color="auto"/>
                                                <w:bottom w:val="none" w:sz="0" w:space="0" w:color="auto"/>
                                                <w:right w:val="none" w:sz="0" w:space="0" w:color="auto"/>
                                              </w:divBdr>
                                              <w:divsChild>
                                                <w:div w:id="13892985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968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27690-BBA4-415F-A36D-4E695444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2706</Words>
  <Characters>15425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Lovrich</dc:creator>
  <cp:lastModifiedBy>Bryce Noll</cp:lastModifiedBy>
  <cp:revision>2</cp:revision>
  <dcterms:created xsi:type="dcterms:W3CDTF">2024-07-25T15:38:00Z</dcterms:created>
  <dcterms:modified xsi:type="dcterms:W3CDTF">2024-07-25T15:38:00Z</dcterms:modified>
</cp:coreProperties>
</file>